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2B" w:rsidRDefault="0007582B" w:rsidP="0007582B">
      <w:pPr>
        <w:pStyle w:val="Titre"/>
        <w:jc w:val="left"/>
        <w:rPr>
          <w:b/>
          <w:color w:val="2E74B5" w:themeColor="accent1" w:themeShade="BF"/>
        </w:rPr>
      </w:pPr>
      <w:r>
        <w:rPr>
          <w:b/>
          <w:noProof/>
          <w:color w:val="5B9BD5" w:themeColor="accent1"/>
          <w:lang w:eastAsia="fr-CA"/>
        </w:rPr>
        <w:drawing>
          <wp:anchor distT="0" distB="0" distL="114300" distR="114300" simplePos="0" relativeHeight="251659264" behindDoc="0" locked="0" layoutInCell="1" allowOverlap="1">
            <wp:simplePos x="0" y="0"/>
            <wp:positionH relativeFrom="column">
              <wp:posOffset>7620</wp:posOffset>
            </wp:positionH>
            <wp:positionV relativeFrom="paragraph">
              <wp:posOffset>-158839</wp:posOffset>
            </wp:positionV>
            <wp:extent cx="1770845" cy="551301"/>
            <wp:effectExtent l="0" t="0" r="127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NEEQ transparen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0845" cy="551301"/>
                    </a:xfrm>
                    <a:prstGeom prst="rect">
                      <a:avLst/>
                    </a:prstGeom>
                  </pic:spPr>
                </pic:pic>
              </a:graphicData>
            </a:graphic>
          </wp:anchor>
        </w:drawing>
      </w:r>
    </w:p>
    <w:p w:rsidR="0007582B" w:rsidRPr="009A6820" w:rsidRDefault="0007582B" w:rsidP="0007582B">
      <w:pPr>
        <w:rPr>
          <w:rFonts w:ascii="Century Gothic" w:hAnsi="Century Gothic"/>
          <w:color w:val="404040" w:themeColor="text1" w:themeTint="BF"/>
          <w:sz w:val="44"/>
          <w:szCs w:val="44"/>
        </w:rPr>
      </w:pPr>
      <w:r w:rsidRPr="009A6820">
        <w:rPr>
          <w:rFonts w:ascii="Century Gothic" w:hAnsi="Century Gothic"/>
          <w:color w:val="404040" w:themeColor="text1" w:themeTint="BF"/>
          <w:sz w:val="44"/>
          <w:szCs w:val="44"/>
        </w:rPr>
        <w:t>Regroupement cégep</w:t>
      </w:r>
    </w:p>
    <w:p w:rsidR="0007582B" w:rsidRPr="009A6820" w:rsidRDefault="0007582B" w:rsidP="0007582B"/>
    <w:p w:rsidR="0007582B" w:rsidRPr="00EC0397" w:rsidRDefault="0007582B" w:rsidP="0007582B">
      <w:pPr>
        <w:pStyle w:val="Titre"/>
        <w:jc w:val="left"/>
        <w:rPr>
          <w:rFonts w:ascii="Century Gothic" w:hAnsi="Century Gothic"/>
          <w:color w:val="2E74B5" w:themeColor="accent1" w:themeShade="BF"/>
        </w:rPr>
      </w:pPr>
      <w:r w:rsidRPr="00EC0397">
        <w:rPr>
          <w:rFonts w:ascii="Century Gothic" w:hAnsi="Century Gothic"/>
          <w:color w:val="2E74B5" w:themeColor="accent1" w:themeShade="BF"/>
        </w:rPr>
        <w:t>Document pour les comités exécutifs syndicaux du regroupement cégep</w:t>
      </w:r>
    </w:p>
    <w:p w:rsidR="0007582B" w:rsidRDefault="0007582B" w:rsidP="0007582B"/>
    <w:p w:rsidR="0007582B" w:rsidRDefault="0007582B" w:rsidP="0007582B">
      <w:pPr>
        <w:jc w:val="left"/>
        <w:rPr>
          <w:rFonts w:ascii="Century Gothic" w:hAnsi="Century Gothic"/>
          <w:color w:val="404040" w:themeColor="text1" w:themeTint="BF"/>
          <w:sz w:val="44"/>
          <w:szCs w:val="44"/>
        </w:rPr>
      </w:pPr>
    </w:p>
    <w:p w:rsidR="0007582B" w:rsidRPr="009A6820" w:rsidRDefault="0007582B" w:rsidP="0007582B">
      <w:pPr>
        <w:pBdr>
          <w:bottom w:val="single" w:sz="12" w:space="1" w:color="404040" w:themeColor="text1" w:themeTint="BF"/>
        </w:pBdr>
        <w:jc w:val="left"/>
        <w:rPr>
          <w:rFonts w:ascii="Century Gothic" w:hAnsi="Century Gothic"/>
          <w:color w:val="404040" w:themeColor="text1" w:themeTint="BF"/>
          <w:sz w:val="44"/>
          <w:szCs w:val="44"/>
        </w:rPr>
      </w:pPr>
      <w:r w:rsidRPr="00EC0397">
        <w:rPr>
          <w:rFonts w:ascii="Century Gothic" w:hAnsi="Century Gothic"/>
          <w:color w:val="404040" w:themeColor="text1" w:themeTint="BF"/>
          <w:sz w:val="44"/>
          <w:szCs w:val="44"/>
        </w:rPr>
        <w:t xml:space="preserve">Organisation de la résistance </w:t>
      </w:r>
      <w:r>
        <w:rPr>
          <w:rFonts w:ascii="Century Gothic" w:hAnsi="Century Gothic"/>
          <w:color w:val="404040" w:themeColor="text1" w:themeTint="BF"/>
          <w:sz w:val="44"/>
          <w:szCs w:val="44"/>
        </w:rPr>
        <w:br/>
      </w:r>
      <w:r w:rsidRPr="00EC0397">
        <w:rPr>
          <w:rFonts w:ascii="Century Gothic" w:hAnsi="Century Gothic"/>
          <w:color w:val="404040" w:themeColor="text1" w:themeTint="BF"/>
          <w:sz w:val="44"/>
          <w:szCs w:val="44"/>
        </w:rPr>
        <w:t>à une éventuelle loi spéciale</w:t>
      </w:r>
    </w:p>
    <w:p w:rsidR="0007582B" w:rsidRPr="009A6820" w:rsidRDefault="0007582B" w:rsidP="0007582B">
      <w:pPr>
        <w:rPr>
          <w:rFonts w:ascii="Century Gothic" w:hAnsi="Century Gothic"/>
          <w:b/>
          <w:color w:val="404040" w:themeColor="text1" w:themeTint="BF"/>
          <w:sz w:val="32"/>
          <w:szCs w:val="32"/>
        </w:rPr>
      </w:pPr>
      <w:r w:rsidRPr="009A6820">
        <w:rPr>
          <w:rFonts w:ascii="Century Gothic" w:hAnsi="Century Gothic"/>
          <w:b/>
          <w:color w:val="404040" w:themeColor="text1" w:themeTint="BF"/>
          <w:sz w:val="32"/>
          <w:szCs w:val="32"/>
        </w:rPr>
        <w:t>Négociation 2015</w:t>
      </w:r>
    </w:p>
    <w:p w:rsidR="0007582B" w:rsidRDefault="0007582B" w:rsidP="0007582B">
      <w:pPr>
        <w:rPr>
          <w:rFonts w:ascii="Century Gothic" w:hAnsi="Century Gothic"/>
          <w:sz w:val="28"/>
          <w:szCs w:val="28"/>
        </w:rPr>
      </w:pPr>
    </w:p>
    <w:p w:rsidR="0007582B" w:rsidRDefault="0007582B" w:rsidP="0007582B">
      <w:pPr>
        <w:rPr>
          <w:rFonts w:ascii="Century Gothic" w:hAnsi="Century Gothic"/>
          <w:sz w:val="24"/>
          <w:szCs w:val="24"/>
        </w:rPr>
      </w:pPr>
    </w:p>
    <w:p w:rsidR="0007582B" w:rsidRDefault="0007582B" w:rsidP="0007582B">
      <w:pPr>
        <w:rPr>
          <w:rFonts w:ascii="Century Gothic" w:hAnsi="Century Gothic"/>
          <w:sz w:val="24"/>
          <w:szCs w:val="24"/>
        </w:rPr>
      </w:pPr>
    </w:p>
    <w:p w:rsidR="0007582B" w:rsidRDefault="0007582B" w:rsidP="0007582B">
      <w:pPr>
        <w:jc w:val="left"/>
        <w:rPr>
          <w:rFonts w:ascii="Century Gothic" w:hAnsi="Century Gothic"/>
          <w:color w:val="404040" w:themeColor="text1" w:themeTint="BF"/>
          <w:sz w:val="44"/>
          <w:szCs w:val="44"/>
        </w:rPr>
      </w:pPr>
      <w:r>
        <w:rPr>
          <w:rFonts w:ascii="Century Gothic" w:hAnsi="Century Gothic"/>
          <w:color w:val="404040" w:themeColor="text1" w:themeTint="BF"/>
          <w:sz w:val="44"/>
          <w:szCs w:val="44"/>
        </w:rPr>
        <w:t>ANNEXE</w:t>
      </w:r>
    </w:p>
    <w:p w:rsidR="0007582B" w:rsidRDefault="0007582B" w:rsidP="0007582B">
      <w:pPr>
        <w:jc w:val="left"/>
        <w:rPr>
          <w:rFonts w:ascii="Century Gothic" w:hAnsi="Century Gothic"/>
          <w:sz w:val="24"/>
          <w:szCs w:val="24"/>
        </w:rPr>
      </w:pPr>
      <w:r>
        <w:rPr>
          <w:rFonts w:ascii="Century Gothic" w:hAnsi="Century Gothic"/>
          <w:color w:val="404040" w:themeColor="text1" w:themeTint="BF"/>
          <w:sz w:val="44"/>
          <w:szCs w:val="44"/>
        </w:rPr>
        <w:t>Historique des lois spéciales</w:t>
      </w:r>
      <w:r w:rsidRPr="00EC0397">
        <w:rPr>
          <w:rFonts w:ascii="Century Gothic" w:hAnsi="Century Gothic"/>
          <w:color w:val="404040" w:themeColor="text1" w:themeTint="BF"/>
          <w:sz w:val="44"/>
          <w:szCs w:val="44"/>
        </w:rPr>
        <w:t xml:space="preserve"> </w:t>
      </w:r>
      <w:r>
        <w:rPr>
          <w:rFonts w:ascii="Century Gothic" w:hAnsi="Century Gothic"/>
          <w:color w:val="404040" w:themeColor="text1" w:themeTint="BF"/>
          <w:sz w:val="44"/>
          <w:szCs w:val="44"/>
        </w:rPr>
        <w:br/>
      </w:r>
    </w:p>
    <w:p w:rsidR="0007582B" w:rsidRDefault="0007582B" w:rsidP="0007582B">
      <w:pPr>
        <w:rPr>
          <w:rFonts w:ascii="Century Gothic" w:hAnsi="Century Gothic"/>
          <w:sz w:val="24"/>
          <w:szCs w:val="24"/>
        </w:rPr>
      </w:pPr>
    </w:p>
    <w:p w:rsidR="0007582B" w:rsidRDefault="0007582B" w:rsidP="0007582B">
      <w:pPr>
        <w:rPr>
          <w:rFonts w:ascii="Century Gothic" w:hAnsi="Century Gothic"/>
          <w:sz w:val="24"/>
          <w:szCs w:val="24"/>
        </w:rPr>
      </w:pPr>
    </w:p>
    <w:p w:rsidR="0007582B" w:rsidRDefault="0007582B" w:rsidP="0007582B">
      <w:pPr>
        <w:rPr>
          <w:rFonts w:ascii="Century Gothic" w:hAnsi="Century Gothic"/>
          <w:sz w:val="24"/>
          <w:szCs w:val="24"/>
        </w:rPr>
      </w:pPr>
    </w:p>
    <w:p w:rsidR="0007582B" w:rsidRDefault="008D542B" w:rsidP="0007582B">
      <w:pPr>
        <w:rPr>
          <w:rFonts w:ascii="Century Gothic" w:hAnsi="Century Gothic"/>
          <w:sz w:val="24"/>
          <w:szCs w:val="24"/>
        </w:rPr>
      </w:pPr>
      <w:r>
        <w:rPr>
          <w:rFonts w:ascii="Century Gothic" w:hAnsi="Century Gothic"/>
          <w:sz w:val="24"/>
          <w:szCs w:val="24"/>
        </w:rPr>
        <w:t>Document élabor</w:t>
      </w:r>
      <w:r w:rsidR="00FA711B">
        <w:rPr>
          <w:rFonts w:ascii="Century Gothic" w:hAnsi="Century Gothic"/>
          <w:sz w:val="24"/>
          <w:szCs w:val="24"/>
        </w:rPr>
        <w:t>é par le comité de stratégie de la FNEEQ</w:t>
      </w:r>
      <w:bookmarkStart w:id="0" w:name="_GoBack"/>
      <w:bookmarkEnd w:id="0"/>
    </w:p>
    <w:p w:rsidR="00135B03" w:rsidRDefault="0007582B" w:rsidP="00135B03">
      <w:pPr>
        <w:rPr>
          <w:rFonts w:ascii="Century Gothic" w:hAnsi="Century Gothic"/>
          <w:color w:val="404040" w:themeColor="text1" w:themeTint="BF"/>
          <w:sz w:val="28"/>
          <w:szCs w:val="28"/>
        </w:rPr>
      </w:pPr>
      <w:r w:rsidRPr="009A6820">
        <w:rPr>
          <w:rFonts w:ascii="Century Gothic" w:hAnsi="Century Gothic"/>
          <w:sz w:val="24"/>
          <w:szCs w:val="24"/>
        </w:rPr>
        <w:t>26 o</w:t>
      </w:r>
      <w:r>
        <w:rPr>
          <w:rFonts w:ascii="Century Gothic" w:hAnsi="Century Gothic"/>
          <w:sz w:val="24"/>
          <w:szCs w:val="24"/>
        </w:rPr>
        <w:t>ctobre 2015</w:t>
      </w:r>
    </w:p>
    <w:p w:rsidR="00135B03" w:rsidRDefault="00135B03" w:rsidP="00135B03">
      <w:pPr>
        <w:rPr>
          <w:rFonts w:ascii="Century Gothic" w:hAnsi="Century Gothic"/>
          <w:color w:val="404040" w:themeColor="text1" w:themeTint="BF"/>
          <w:sz w:val="28"/>
          <w:szCs w:val="28"/>
        </w:rPr>
      </w:pPr>
    </w:p>
    <w:p w:rsidR="00135B03" w:rsidRPr="00EC0397" w:rsidRDefault="00135B03" w:rsidP="00135B03">
      <w:pPr>
        <w:rPr>
          <w:rFonts w:ascii="Century Gothic" w:hAnsi="Century Gothic"/>
          <w:color w:val="404040" w:themeColor="text1" w:themeTint="BF"/>
          <w:sz w:val="28"/>
          <w:szCs w:val="28"/>
        </w:rPr>
      </w:pPr>
    </w:p>
    <w:p w:rsidR="00135B03" w:rsidRPr="00B45285" w:rsidRDefault="00135B03" w:rsidP="00135B03">
      <w:pPr>
        <w:rPr>
          <w:rFonts w:ascii="Century Gothic" w:hAnsi="Century Gothic"/>
          <w:sz w:val="28"/>
          <w:szCs w:val="28"/>
        </w:rPr>
        <w:sectPr w:rsidR="00135B03" w:rsidRPr="00B45285" w:rsidSect="00914F6A">
          <w:headerReference w:type="default" r:id="rId9"/>
          <w:footerReference w:type="even" r:id="rId10"/>
          <w:footerReference w:type="default" r:id="rId11"/>
          <w:pgSz w:w="12240" w:h="15840"/>
          <w:pgMar w:top="1440" w:right="1083" w:bottom="1440" w:left="1083" w:header="709" w:footer="340" w:gutter="0"/>
          <w:cols w:space="708"/>
          <w:titlePg/>
          <w:docGrid w:linePitch="360"/>
        </w:sectPr>
      </w:pPr>
    </w:p>
    <w:sdt>
      <w:sdtPr>
        <w:rPr>
          <w:rFonts w:eastAsiaTheme="minorHAnsi" w:cstheme="minorBidi"/>
          <w:color w:val="auto"/>
          <w:sz w:val="22"/>
          <w:szCs w:val="22"/>
          <w:lang w:val="fr-FR" w:eastAsia="en-US"/>
        </w:rPr>
        <w:id w:val="770431972"/>
        <w:docPartObj>
          <w:docPartGallery w:val="Table of Contents"/>
          <w:docPartUnique/>
        </w:docPartObj>
      </w:sdtPr>
      <w:sdtEndPr>
        <w:rPr>
          <w:b/>
          <w:bCs/>
        </w:rPr>
      </w:sdtEndPr>
      <w:sdtContent>
        <w:p w:rsidR="00135B03" w:rsidRPr="00135B03" w:rsidRDefault="00135B03" w:rsidP="00135B03">
          <w:pPr>
            <w:pStyle w:val="En-ttedetabledesmatires"/>
            <w:spacing w:before="0" w:after="360"/>
            <w:rPr>
              <w:lang w:val="fr-FR"/>
            </w:rPr>
          </w:pPr>
          <w:r>
            <w:rPr>
              <w:lang w:val="fr-FR"/>
            </w:rPr>
            <w:t>Table des matières</w:t>
          </w:r>
        </w:p>
        <w:p w:rsidR="00914F6A" w:rsidRDefault="00A97376">
          <w:pPr>
            <w:pStyle w:val="TM1"/>
            <w:tabs>
              <w:tab w:val="right" w:leader="dot" w:pos="10064"/>
            </w:tabs>
            <w:rPr>
              <w:rFonts w:asciiTheme="minorHAnsi" w:eastAsiaTheme="minorEastAsia" w:hAnsiTheme="minorHAnsi"/>
              <w:noProof/>
              <w:lang w:eastAsia="fr-CA"/>
            </w:rPr>
          </w:pPr>
          <w:r w:rsidRPr="00A97376">
            <w:fldChar w:fldCharType="begin"/>
          </w:r>
          <w:r w:rsidR="00135B03">
            <w:instrText xml:space="preserve"> TOC \o "1-3" \h \z \u </w:instrText>
          </w:r>
          <w:r w:rsidRPr="00A97376">
            <w:fldChar w:fldCharType="separate"/>
          </w:r>
          <w:hyperlink w:anchor="_Toc433705697" w:history="1">
            <w:r w:rsidR="00914F6A" w:rsidRPr="00BE3198">
              <w:rPr>
                <w:rStyle w:val="Lienhypertexte"/>
                <w:noProof/>
              </w:rPr>
              <w:t>Historique des lois spéciales</w:t>
            </w:r>
            <w:r w:rsidR="00914F6A">
              <w:rPr>
                <w:noProof/>
                <w:webHidden/>
              </w:rPr>
              <w:tab/>
            </w:r>
            <w:r>
              <w:rPr>
                <w:noProof/>
                <w:webHidden/>
              </w:rPr>
              <w:fldChar w:fldCharType="begin"/>
            </w:r>
            <w:r w:rsidR="00914F6A">
              <w:rPr>
                <w:noProof/>
                <w:webHidden/>
              </w:rPr>
              <w:instrText xml:space="preserve"> PAGEREF _Toc433705697 \h </w:instrText>
            </w:r>
            <w:r>
              <w:rPr>
                <w:noProof/>
                <w:webHidden/>
              </w:rPr>
            </w:r>
            <w:r>
              <w:rPr>
                <w:noProof/>
                <w:webHidden/>
              </w:rPr>
              <w:fldChar w:fldCharType="separate"/>
            </w:r>
            <w:r w:rsidR="00914F6A">
              <w:rPr>
                <w:noProof/>
                <w:webHidden/>
              </w:rPr>
              <w:t>3</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698" w:history="1">
            <w:r w:rsidR="00914F6A" w:rsidRPr="00BE3198">
              <w:rPr>
                <w:rStyle w:val="Lienhypertexte"/>
                <w:noProof/>
              </w:rPr>
              <w:t>De l’usage répété de l’exception</w:t>
            </w:r>
            <w:r w:rsidR="00914F6A">
              <w:rPr>
                <w:noProof/>
                <w:webHidden/>
              </w:rPr>
              <w:tab/>
            </w:r>
            <w:r>
              <w:rPr>
                <w:noProof/>
                <w:webHidden/>
              </w:rPr>
              <w:fldChar w:fldCharType="begin"/>
            </w:r>
            <w:r w:rsidR="00914F6A">
              <w:rPr>
                <w:noProof/>
                <w:webHidden/>
              </w:rPr>
              <w:instrText xml:space="preserve"> PAGEREF _Toc433705698 \h </w:instrText>
            </w:r>
            <w:r>
              <w:rPr>
                <w:noProof/>
                <w:webHidden/>
              </w:rPr>
            </w:r>
            <w:r>
              <w:rPr>
                <w:noProof/>
                <w:webHidden/>
              </w:rPr>
              <w:fldChar w:fldCharType="separate"/>
            </w:r>
            <w:r w:rsidR="00914F6A">
              <w:rPr>
                <w:noProof/>
                <w:webHidden/>
              </w:rPr>
              <w:t>3</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699" w:history="1">
            <w:r w:rsidR="00914F6A" w:rsidRPr="00BE3198">
              <w:rPr>
                <w:rStyle w:val="Lienhypertexte"/>
                <w:noProof/>
              </w:rPr>
              <w:t>« La reine ne négocie pas avec ses sujets »</w:t>
            </w:r>
            <w:r w:rsidR="00914F6A">
              <w:rPr>
                <w:noProof/>
                <w:webHidden/>
              </w:rPr>
              <w:tab/>
            </w:r>
            <w:r>
              <w:rPr>
                <w:noProof/>
                <w:webHidden/>
              </w:rPr>
              <w:fldChar w:fldCharType="begin"/>
            </w:r>
            <w:r w:rsidR="00914F6A">
              <w:rPr>
                <w:noProof/>
                <w:webHidden/>
              </w:rPr>
              <w:instrText xml:space="preserve"> PAGEREF _Toc433705699 \h </w:instrText>
            </w:r>
            <w:r>
              <w:rPr>
                <w:noProof/>
                <w:webHidden/>
              </w:rPr>
            </w:r>
            <w:r>
              <w:rPr>
                <w:noProof/>
                <w:webHidden/>
              </w:rPr>
              <w:fldChar w:fldCharType="separate"/>
            </w:r>
            <w:r w:rsidR="00914F6A">
              <w:rPr>
                <w:noProof/>
                <w:webHidden/>
              </w:rPr>
              <w:t>3</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00" w:history="1">
            <w:r w:rsidR="00914F6A" w:rsidRPr="00BE3198">
              <w:rPr>
                <w:rStyle w:val="Lienhypertexte"/>
                <w:noProof/>
              </w:rPr>
              <w:t>Un changement de paradigme</w:t>
            </w:r>
            <w:r w:rsidR="00914F6A">
              <w:rPr>
                <w:noProof/>
                <w:webHidden/>
              </w:rPr>
              <w:tab/>
            </w:r>
            <w:r>
              <w:rPr>
                <w:noProof/>
                <w:webHidden/>
              </w:rPr>
              <w:fldChar w:fldCharType="begin"/>
            </w:r>
            <w:r w:rsidR="00914F6A">
              <w:rPr>
                <w:noProof/>
                <w:webHidden/>
              </w:rPr>
              <w:instrText xml:space="preserve"> PAGEREF _Toc433705700 \h </w:instrText>
            </w:r>
            <w:r>
              <w:rPr>
                <w:noProof/>
                <w:webHidden/>
              </w:rPr>
            </w:r>
            <w:r>
              <w:rPr>
                <w:noProof/>
                <w:webHidden/>
              </w:rPr>
              <w:fldChar w:fldCharType="separate"/>
            </w:r>
            <w:r w:rsidR="00914F6A">
              <w:rPr>
                <w:noProof/>
                <w:webHidden/>
              </w:rPr>
              <w:t>3</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01" w:history="1">
            <w:r w:rsidR="00914F6A" w:rsidRPr="00BE3198">
              <w:rPr>
                <w:rStyle w:val="Lienhypertexte"/>
                <w:noProof/>
              </w:rPr>
              <w:t>Les premières lois spéciales</w:t>
            </w:r>
            <w:r w:rsidR="00914F6A">
              <w:rPr>
                <w:noProof/>
                <w:webHidden/>
              </w:rPr>
              <w:tab/>
            </w:r>
            <w:r>
              <w:rPr>
                <w:noProof/>
                <w:webHidden/>
              </w:rPr>
              <w:fldChar w:fldCharType="begin"/>
            </w:r>
            <w:r w:rsidR="00914F6A">
              <w:rPr>
                <w:noProof/>
                <w:webHidden/>
              </w:rPr>
              <w:instrText xml:space="preserve"> PAGEREF _Toc433705701 \h </w:instrText>
            </w:r>
            <w:r>
              <w:rPr>
                <w:noProof/>
                <w:webHidden/>
              </w:rPr>
            </w:r>
            <w:r>
              <w:rPr>
                <w:noProof/>
                <w:webHidden/>
              </w:rPr>
              <w:fldChar w:fldCharType="separate"/>
            </w:r>
            <w:r w:rsidR="00914F6A">
              <w:rPr>
                <w:noProof/>
                <w:webHidden/>
              </w:rPr>
              <w:t>3</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02" w:history="1">
            <w:r w:rsidR="00914F6A" w:rsidRPr="00BE3198">
              <w:rPr>
                <w:rStyle w:val="Lienhypertexte"/>
                <w:noProof/>
              </w:rPr>
              <w:t>Le tournant de 1982-1983</w:t>
            </w:r>
            <w:r w:rsidR="00914F6A">
              <w:rPr>
                <w:noProof/>
                <w:webHidden/>
              </w:rPr>
              <w:tab/>
            </w:r>
            <w:r>
              <w:rPr>
                <w:noProof/>
                <w:webHidden/>
              </w:rPr>
              <w:fldChar w:fldCharType="begin"/>
            </w:r>
            <w:r w:rsidR="00914F6A">
              <w:rPr>
                <w:noProof/>
                <w:webHidden/>
              </w:rPr>
              <w:instrText xml:space="preserve"> PAGEREF _Toc433705702 \h </w:instrText>
            </w:r>
            <w:r>
              <w:rPr>
                <w:noProof/>
                <w:webHidden/>
              </w:rPr>
            </w:r>
            <w:r>
              <w:rPr>
                <w:noProof/>
                <w:webHidden/>
              </w:rPr>
              <w:fldChar w:fldCharType="separate"/>
            </w:r>
            <w:r w:rsidR="00914F6A">
              <w:rPr>
                <w:noProof/>
                <w:webHidden/>
              </w:rPr>
              <w:t>4</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03" w:history="1">
            <w:r w:rsidR="00914F6A" w:rsidRPr="00BE3198">
              <w:rPr>
                <w:rStyle w:val="Lienhypertexte"/>
                <w:noProof/>
              </w:rPr>
              <w:t>Recension des lois spéciales dans les secteurs public et parapublic</w:t>
            </w:r>
            <w:r w:rsidR="00914F6A">
              <w:rPr>
                <w:noProof/>
                <w:webHidden/>
              </w:rPr>
              <w:tab/>
            </w:r>
            <w:r>
              <w:rPr>
                <w:noProof/>
                <w:webHidden/>
              </w:rPr>
              <w:fldChar w:fldCharType="begin"/>
            </w:r>
            <w:r w:rsidR="00914F6A">
              <w:rPr>
                <w:noProof/>
                <w:webHidden/>
              </w:rPr>
              <w:instrText xml:space="preserve"> PAGEREF _Toc433705703 \h </w:instrText>
            </w:r>
            <w:r>
              <w:rPr>
                <w:noProof/>
                <w:webHidden/>
              </w:rPr>
            </w:r>
            <w:r>
              <w:rPr>
                <w:noProof/>
                <w:webHidden/>
              </w:rPr>
              <w:fldChar w:fldCharType="separate"/>
            </w:r>
            <w:r w:rsidR="00914F6A">
              <w:rPr>
                <w:noProof/>
                <w:webHidden/>
              </w:rPr>
              <w:t>5</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4" w:history="1">
            <w:r w:rsidR="00914F6A" w:rsidRPr="00BE3198">
              <w:rPr>
                <w:rStyle w:val="Lienhypertexte"/>
                <w:noProof/>
              </w:rPr>
              <w:t>Loi 25 de 1967</w:t>
            </w:r>
            <w:r w:rsidR="00914F6A">
              <w:rPr>
                <w:noProof/>
                <w:webHidden/>
              </w:rPr>
              <w:tab/>
            </w:r>
            <w:r>
              <w:rPr>
                <w:noProof/>
                <w:webHidden/>
              </w:rPr>
              <w:fldChar w:fldCharType="begin"/>
            </w:r>
            <w:r w:rsidR="00914F6A">
              <w:rPr>
                <w:noProof/>
                <w:webHidden/>
              </w:rPr>
              <w:instrText xml:space="preserve"> PAGEREF _Toc433705704 \h </w:instrText>
            </w:r>
            <w:r>
              <w:rPr>
                <w:noProof/>
                <w:webHidden/>
              </w:rPr>
            </w:r>
            <w:r>
              <w:rPr>
                <w:noProof/>
                <w:webHidden/>
              </w:rPr>
              <w:fldChar w:fldCharType="separate"/>
            </w:r>
            <w:r w:rsidR="00914F6A">
              <w:rPr>
                <w:noProof/>
                <w:webHidden/>
              </w:rPr>
              <w:t>5</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5" w:history="1">
            <w:r w:rsidR="00914F6A" w:rsidRPr="00BE3198">
              <w:rPr>
                <w:rStyle w:val="Lienhypertexte"/>
                <w:noProof/>
              </w:rPr>
              <w:t>Loi 19 de 1972</w:t>
            </w:r>
            <w:r w:rsidR="00914F6A">
              <w:rPr>
                <w:noProof/>
                <w:webHidden/>
              </w:rPr>
              <w:tab/>
            </w:r>
            <w:r>
              <w:rPr>
                <w:noProof/>
                <w:webHidden/>
              </w:rPr>
              <w:fldChar w:fldCharType="begin"/>
            </w:r>
            <w:r w:rsidR="00914F6A">
              <w:rPr>
                <w:noProof/>
                <w:webHidden/>
              </w:rPr>
              <w:instrText xml:space="preserve"> PAGEREF _Toc433705705 \h </w:instrText>
            </w:r>
            <w:r>
              <w:rPr>
                <w:noProof/>
                <w:webHidden/>
              </w:rPr>
            </w:r>
            <w:r>
              <w:rPr>
                <w:noProof/>
                <w:webHidden/>
              </w:rPr>
              <w:fldChar w:fldCharType="separate"/>
            </w:r>
            <w:r w:rsidR="00914F6A">
              <w:rPr>
                <w:noProof/>
                <w:webHidden/>
              </w:rPr>
              <w:t>5</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6" w:history="1">
            <w:r w:rsidR="00914F6A" w:rsidRPr="00BE3198">
              <w:rPr>
                <w:rStyle w:val="Lienhypertexte"/>
                <w:noProof/>
              </w:rPr>
              <w:t>Loi 61 de 1976</w:t>
            </w:r>
            <w:r w:rsidR="00914F6A">
              <w:rPr>
                <w:noProof/>
                <w:webHidden/>
              </w:rPr>
              <w:tab/>
            </w:r>
            <w:r>
              <w:rPr>
                <w:noProof/>
                <w:webHidden/>
              </w:rPr>
              <w:fldChar w:fldCharType="begin"/>
            </w:r>
            <w:r w:rsidR="00914F6A">
              <w:rPr>
                <w:noProof/>
                <w:webHidden/>
              </w:rPr>
              <w:instrText xml:space="preserve"> PAGEREF _Toc433705706 \h </w:instrText>
            </w:r>
            <w:r>
              <w:rPr>
                <w:noProof/>
                <w:webHidden/>
              </w:rPr>
            </w:r>
            <w:r>
              <w:rPr>
                <w:noProof/>
                <w:webHidden/>
              </w:rPr>
              <w:fldChar w:fldCharType="separate"/>
            </w:r>
            <w:r w:rsidR="00914F6A">
              <w:rPr>
                <w:noProof/>
                <w:webHidden/>
              </w:rPr>
              <w:t>5</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7" w:history="1">
            <w:r w:rsidR="00914F6A" w:rsidRPr="00BE3198">
              <w:rPr>
                <w:rStyle w:val="Lienhypertexte"/>
                <w:noProof/>
              </w:rPr>
              <w:t>Loi 23 de 1976</w:t>
            </w:r>
            <w:r w:rsidR="00914F6A">
              <w:rPr>
                <w:noProof/>
                <w:webHidden/>
              </w:rPr>
              <w:tab/>
            </w:r>
            <w:r>
              <w:rPr>
                <w:noProof/>
                <w:webHidden/>
              </w:rPr>
              <w:fldChar w:fldCharType="begin"/>
            </w:r>
            <w:r w:rsidR="00914F6A">
              <w:rPr>
                <w:noProof/>
                <w:webHidden/>
              </w:rPr>
              <w:instrText xml:space="preserve"> PAGEREF _Toc433705707 \h </w:instrText>
            </w:r>
            <w:r>
              <w:rPr>
                <w:noProof/>
                <w:webHidden/>
              </w:rPr>
            </w:r>
            <w:r>
              <w:rPr>
                <w:noProof/>
                <w:webHidden/>
              </w:rPr>
              <w:fldChar w:fldCharType="separate"/>
            </w:r>
            <w:r w:rsidR="00914F6A">
              <w:rPr>
                <w:noProof/>
                <w:webHidden/>
              </w:rPr>
              <w:t>6</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8" w:history="1">
            <w:r w:rsidR="00914F6A" w:rsidRPr="00BE3198">
              <w:rPr>
                <w:rStyle w:val="Lienhypertexte"/>
                <w:noProof/>
              </w:rPr>
              <w:t>Loi 62 de 1979</w:t>
            </w:r>
            <w:r w:rsidR="00914F6A">
              <w:rPr>
                <w:noProof/>
                <w:webHidden/>
              </w:rPr>
              <w:tab/>
            </w:r>
            <w:r>
              <w:rPr>
                <w:noProof/>
                <w:webHidden/>
              </w:rPr>
              <w:fldChar w:fldCharType="begin"/>
            </w:r>
            <w:r w:rsidR="00914F6A">
              <w:rPr>
                <w:noProof/>
                <w:webHidden/>
              </w:rPr>
              <w:instrText xml:space="preserve"> PAGEREF _Toc433705708 \h </w:instrText>
            </w:r>
            <w:r>
              <w:rPr>
                <w:noProof/>
                <w:webHidden/>
              </w:rPr>
            </w:r>
            <w:r>
              <w:rPr>
                <w:noProof/>
                <w:webHidden/>
              </w:rPr>
              <w:fldChar w:fldCharType="separate"/>
            </w:r>
            <w:r w:rsidR="00914F6A">
              <w:rPr>
                <w:noProof/>
                <w:webHidden/>
              </w:rPr>
              <w:t>6</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09" w:history="1">
            <w:r w:rsidR="00914F6A" w:rsidRPr="00BE3198">
              <w:rPr>
                <w:rStyle w:val="Lienhypertexte"/>
                <w:noProof/>
              </w:rPr>
              <w:t>Loi 113 de 1980</w:t>
            </w:r>
            <w:r w:rsidR="00914F6A">
              <w:rPr>
                <w:noProof/>
                <w:webHidden/>
              </w:rPr>
              <w:tab/>
            </w:r>
            <w:r>
              <w:rPr>
                <w:noProof/>
                <w:webHidden/>
              </w:rPr>
              <w:fldChar w:fldCharType="begin"/>
            </w:r>
            <w:r w:rsidR="00914F6A">
              <w:rPr>
                <w:noProof/>
                <w:webHidden/>
              </w:rPr>
              <w:instrText xml:space="preserve"> PAGEREF _Toc433705709 \h </w:instrText>
            </w:r>
            <w:r>
              <w:rPr>
                <w:noProof/>
                <w:webHidden/>
              </w:rPr>
            </w:r>
            <w:r>
              <w:rPr>
                <w:noProof/>
                <w:webHidden/>
              </w:rPr>
              <w:fldChar w:fldCharType="separate"/>
            </w:r>
            <w:r w:rsidR="00914F6A">
              <w:rPr>
                <w:noProof/>
                <w:webHidden/>
              </w:rPr>
              <w:t>6</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0" w:history="1">
            <w:r w:rsidR="00914F6A" w:rsidRPr="00BE3198">
              <w:rPr>
                <w:rStyle w:val="Lienhypertexte"/>
                <w:noProof/>
              </w:rPr>
              <w:t>Loi 111 de 1983</w:t>
            </w:r>
            <w:r w:rsidR="00914F6A">
              <w:rPr>
                <w:noProof/>
                <w:webHidden/>
              </w:rPr>
              <w:tab/>
            </w:r>
            <w:r>
              <w:rPr>
                <w:noProof/>
                <w:webHidden/>
              </w:rPr>
              <w:fldChar w:fldCharType="begin"/>
            </w:r>
            <w:r w:rsidR="00914F6A">
              <w:rPr>
                <w:noProof/>
                <w:webHidden/>
              </w:rPr>
              <w:instrText xml:space="preserve"> PAGEREF _Toc433705710 \h </w:instrText>
            </w:r>
            <w:r>
              <w:rPr>
                <w:noProof/>
                <w:webHidden/>
              </w:rPr>
            </w:r>
            <w:r>
              <w:rPr>
                <w:noProof/>
                <w:webHidden/>
              </w:rPr>
              <w:fldChar w:fldCharType="separate"/>
            </w:r>
            <w:r w:rsidR="00914F6A">
              <w:rPr>
                <w:noProof/>
                <w:webHidden/>
              </w:rPr>
              <w:t>6</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1" w:history="1">
            <w:r w:rsidR="00914F6A" w:rsidRPr="00BE3198">
              <w:rPr>
                <w:rStyle w:val="Lienhypertexte"/>
                <w:noProof/>
              </w:rPr>
              <w:t>Loi 160 de 1986</w:t>
            </w:r>
            <w:r w:rsidR="00914F6A">
              <w:rPr>
                <w:noProof/>
                <w:webHidden/>
              </w:rPr>
              <w:tab/>
            </w:r>
            <w:r>
              <w:rPr>
                <w:noProof/>
                <w:webHidden/>
              </w:rPr>
              <w:fldChar w:fldCharType="begin"/>
            </w:r>
            <w:r w:rsidR="00914F6A">
              <w:rPr>
                <w:noProof/>
                <w:webHidden/>
              </w:rPr>
              <w:instrText xml:space="preserve"> PAGEREF _Toc433705711 \h </w:instrText>
            </w:r>
            <w:r>
              <w:rPr>
                <w:noProof/>
                <w:webHidden/>
              </w:rPr>
            </w:r>
            <w:r>
              <w:rPr>
                <w:noProof/>
                <w:webHidden/>
              </w:rPr>
              <w:fldChar w:fldCharType="separate"/>
            </w:r>
            <w:r w:rsidR="00914F6A">
              <w:rPr>
                <w:noProof/>
                <w:webHidden/>
              </w:rPr>
              <w:t>7</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2" w:history="1">
            <w:r w:rsidR="00914F6A" w:rsidRPr="00BE3198">
              <w:rPr>
                <w:rStyle w:val="Lienhypertexte"/>
                <w:noProof/>
              </w:rPr>
              <w:t>Loi 72 de 1999</w:t>
            </w:r>
            <w:r w:rsidR="00914F6A">
              <w:rPr>
                <w:noProof/>
                <w:webHidden/>
              </w:rPr>
              <w:tab/>
            </w:r>
            <w:r>
              <w:rPr>
                <w:noProof/>
                <w:webHidden/>
              </w:rPr>
              <w:fldChar w:fldCharType="begin"/>
            </w:r>
            <w:r w:rsidR="00914F6A">
              <w:rPr>
                <w:noProof/>
                <w:webHidden/>
              </w:rPr>
              <w:instrText xml:space="preserve"> PAGEREF _Toc433705712 \h </w:instrText>
            </w:r>
            <w:r>
              <w:rPr>
                <w:noProof/>
                <w:webHidden/>
              </w:rPr>
            </w:r>
            <w:r>
              <w:rPr>
                <w:noProof/>
                <w:webHidden/>
              </w:rPr>
              <w:fldChar w:fldCharType="separate"/>
            </w:r>
            <w:r w:rsidR="00914F6A">
              <w:rPr>
                <w:noProof/>
                <w:webHidden/>
              </w:rPr>
              <w:t>7</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3" w:history="1">
            <w:r w:rsidR="00914F6A" w:rsidRPr="00BE3198">
              <w:rPr>
                <w:rStyle w:val="Lienhypertexte"/>
                <w:noProof/>
              </w:rPr>
              <w:t>Loi 43 de 2005</w:t>
            </w:r>
            <w:r w:rsidR="00914F6A">
              <w:rPr>
                <w:noProof/>
                <w:webHidden/>
              </w:rPr>
              <w:tab/>
            </w:r>
            <w:r>
              <w:rPr>
                <w:noProof/>
                <w:webHidden/>
              </w:rPr>
              <w:fldChar w:fldCharType="begin"/>
            </w:r>
            <w:r w:rsidR="00914F6A">
              <w:rPr>
                <w:noProof/>
                <w:webHidden/>
              </w:rPr>
              <w:instrText xml:space="preserve"> PAGEREF _Toc433705713 \h </w:instrText>
            </w:r>
            <w:r>
              <w:rPr>
                <w:noProof/>
                <w:webHidden/>
              </w:rPr>
            </w:r>
            <w:r>
              <w:rPr>
                <w:noProof/>
                <w:webHidden/>
              </w:rPr>
              <w:fldChar w:fldCharType="separate"/>
            </w:r>
            <w:r w:rsidR="00914F6A">
              <w:rPr>
                <w:noProof/>
                <w:webHidden/>
              </w:rPr>
              <w:t>7</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4" w:history="1">
            <w:r w:rsidR="00914F6A" w:rsidRPr="00BE3198">
              <w:rPr>
                <w:rStyle w:val="Lienhypertexte"/>
                <w:noProof/>
              </w:rPr>
              <w:t>Loi 12 de 2012</w:t>
            </w:r>
            <w:r w:rsidR="00914F6A">
              <w:rPr>
                <w:noProof/>
                <w:webHidden/>
              </w:rPr>
              <w:tab/>
            </w:r>
            <w:r>
              <w:rPr>
                <w:noProof/>
                <w:webHidden/>
              </w:rPr>
              <w:fldChar w:fldCharType="begin"/>
            </w:r>
            <w:r w:rsidR="00914F6A">
              <w:rPr>
                <w:noProof/>
                <w:webHidden/>
              </w:rPr>
              <w:instrText xml:space="preserve"> PAGEREF _Toc433705714 \h </w:instrText>
            </w:r>
            <w:r>
              <w:rPr>
                <w:noProof/>
                <w:webHidden/>
              </w:rPr>
            </w:r>
            <w:r>
              <w:rPr>
                <w:noProof/>
                <w:webHidden/>
              </w:rPr>
              <w:fldChar w:fldCharType="separate"/>
            </w:r>
            <w:r w:rsidR="00914F6A">
              <w:rPr>
                <w:noProof/>
                <w:webHidden/>
              </w:rPr>
              <w:t>7</w:t>
            </w:r>
            <w:r>
              <w:rPr>
                <w:noProof/>
                <w:webHidden/>
              </w:rPr>
              <w:fldChar w:fldCharType="end"/>
            </w:r>
          </w:hyperlink>
        </w:p>
        <w:p w:rsidR="00914F6A" w:rsidRDefault="00A97376">
          <w:pPr>
            <w:pStyle w:val="TM1"/>
            <w:tabs>
              <w:tab w:val="right" w:leader="dot" w:pos="10064"/>
            </w:tabs>
            <w:rPr>
              <w:rFonts w:asciiTheme="minorHAnsi" w:eastAsiaTheme="minorEastAsia" w:hAnsiTheme="minorHAnsi"/>
              <w:noProof/>
              <w:lang w:eastAsia="fr-CA"/>
            </w:rPr>
          </w:pPr>
          <w:hyperlink w:anchor="_Toc433705715" w:history="1">
            <w:r w:rsidR="00914F6A" w:rsidRPr="00BE3198">
              <w:rPr>
                <w:rStyle w:val="Lienhypertexte"/>
                <w:noProof/>
              </w:rPr>
              <w:t>Historique des réactions aux lois spéciales</w:t>
            </w:r>
            <w:r w:rsidR="00914F6A">
              <w:rPr>
                <w:noProof/>
                <w:webHidden/>
              </w:rPr>
              <w:tab/>
            </w:r>
            <w:r>
              <w:rPr>
                <w:noProof/>
                <w:webHidden/>
              </w:rPr>
              <w:fldChar w:fldCharType="begin"/>
            </w:r>
            <w:r w:rsidR="00914F6A">
              <w:rPr>
                <w:noProof/>
                <w:webHidden/>
              </w:rPr>
              <w:instrText xml:space="preserve"> PAGEREF _Toc433705715 \h </w:instrText>
            </w:r>
            <w:r>
              <w:rPr>
                <w:noProof/>
                <w:webHidden/>
              </w:rPr>
            </w:r>
            <w:r>
              <w:rPr>
                <w:noProof/>
                <w:webHidden/>
              </w:rPr>
              <w:fldChar w:fldCharType="separate"/>
            </w:r>
            <w:r w:rsidR="00914F6A">
              <w:rPr>
                <w:noProof/>
                <w:webHidden/>
              </w:rPr>
              <w:t>8</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16" w:history="1">
            <w:r w:rsidR="00914F6A" w:rsidRPr="00BE3198">
              <w:rPr>
                <w:rStyle w:val="Lienhypertexte"/>
                <w:noProof/>
              </w:rPr>
              <w:t>La FNEEQ face aux décrets de 1982</w:t>
            </w:r>
            <w:r w:rsidR="00914F6A">
              <w:rPr>
                <w:noProof/>
                <w:webHidden/>
              </w:rPr>
              <w:tab/>
            </w:r>
            <w:r>
              <w:rPr>
                <w:noProof/>
                <w:webHidden/>
              </w:rPr>
              <w:fldChar w:fldCharType="begin"/>
            </w:r>
            <w:r w:rsidR="00914F6A">
              <w:rPr>
                <w:noProof/>
                <w:webHidden/>
              </w:rPr>
              <w:instrText xml:space="preserve"> PAGEREF _Toc433705716 \h </w:instrText>
            </w:r>
            <w:r>
              <w:rPr>
                <w:noProof/>
                <w:webHidden/>
              </w:rPr>
            </w:r>
            <w:r>
              <w:rPr>
                <w:noProof/>
                <w:webHidden/>
              </w:rPr>
              <w:fldChar w:fldCharType="separate"/>
            </w:r>
            <w:r w:rsidR="00914F6A">
              <w:rPr>
                <w:noProof/>
                <w:webHidden/>
              </w:rPr>
              <w:t>8</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7" w:history="1">
            <w:r w:rsidR="00914F6A" w:rsidRPr="00BE3198">
              <w:rPr>
                <w:rStyle w:val="Lienhypertexte"/>
                <w:noProof/>
              </w:rPr>
              <w:t>Les décrets de l’automne 1982</w:t>
            </w:r>
            <w:r w:rsidR="00914F6A">
              <w:rPr>
                <w:noProof/>
                <w:webHidden/>
              </w:rPr>
              <w:tab/>
            </w:r>
            <w:r>
              <w:rPr>
                <w:noProof/>
                <w:webHidden/>
              </w:rPr>
              <w:fldChar w:fldCharType="begin"/>
            </w:r>
            <w:r w:rsidR="00914F6A">
              <w:rPr>
                <w:noProof/>
                <w:webHidden/>
              </w:rPr>
              <w:instrText xml:space="preserve"> PAGEREF _Toc433705717 \h </w:instrText>
            </w:r>
            <w:r>
              <w:rPr>
                <w:noProof/>
                <w:webHidden/>
              </w:rPr>
            </w:r>
            <w:r>
              <w:rPr>
                <w:noProof/>
                <w:webHidden/>
              </w:rPr>
              <w:fldChar w:fldCharType="separate"/>
            </w:r>
            <w:r w:rsidR="00914F6A">
              <w:rPr>
                <w:noProof/>
                <w:webHidden/>
              </w:rPr>
              <w:t>8</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8" w:history="1">
            <w:r w:rsidR="00914F6A" w:rsidRPr="00BE3198">
              <w:rPr>
                <w:rStyle w:val="Lienhypertexte"/>
                <w:noProof/>
              </w:rPr>
              <w:t>La réaction : grève et manifestations</w:t>
            </w:r>
            <w:r w:rsidR="00914F6A">
              <w:rPr>
                <w:noProof/>
                <w:webHidden/>
              </w:rPr>
              <w:tab/>
            </w:r>
            <w:r>
              <w:rPr>
                <w:noProof/>
                <w:webHidden/>
              </w:rPr>
              <w:fldChar w:fldCharType="begin"/>
            </w:r>
            <w:r w:rsidR="00914F6A">
              <w:rPr>
                <w:noProof/>
                <w:webHidden/>
              </w:rPr>
              <w:instrText xml:space="preserve"> PAGEREF _Toc433705718 \h </w:instrText>
            </w:r>
            <w:r>
              <w:rPr>
                <w:noProof/>
                <w:webHidden/>
              </w:rPr>
            </w:r>
            <w:r>
              <w:rPr>
                <w:noProof/>
                <w:webHidden/>
              </w:rPr>
              <w:fldChar w:fldCharType="separate"/>
            </w:r>
            <w:r w:rsidR="00914F6A">
              <w:rPr>
                <w:noProof/>
                <w:webHidden/>
              </w:rPr>
              <w:t>8</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19" w:history="1">
            <w:r w:rsidR="00914F6A" w:rsidRPr="00BE3198">
              <w:rPr>
                <w:rStyle w:val="Lienhypertexte"/>
                <w:noProof/>
              </w:rPr>
              <w:t>La réponse des syndicats à la loi 111</w:t>
            </w:r>
            <w:r w:rsidR="00914F6A">
              <w:rPr>
                <w:noProof/>
                <w:webHidden/>
              </w:rPr>
              <w:tab/>
            </w:r>
            <w:r>
              <w:rPr>
                <w:noProof/>
                <w:webHidden/>
              </w:rPr>
              <w:fldChar w:fldCharType="begin"/>
            </w:r>
            <w:r w:rsidR="00914F6A">
              <w:rPr>
                <w:noProof/>
                <w:webHidden/>
              </w:rPr>
              <w:instrText xml:space="preserve"> PAGEREF _Toc433705719 \h </w:instrText>
            </w:r>
            <w:r>
              <w:rPr>
                <w:noProof/>
                <w:webHidden/>
              </w:rPr>
            </w:r>
            <w:r>
              <w:rPr>
                <w:noProof/>
                <w:webHidden/>
              </w:rPr>
              <w:fldChar w:fldCharType="separate"/>
            </w:r>
            <w:r w:rsidR="00914F6A">
              <w:rPr>
                <w:noProof/>
                <w:webHidden/>
              </w:rPr>
              <w:t>8</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20" w:history="1">
            <w:r w:rsidR="00914F6A" w:rsidRPr="00BE3198">
              <w:rPr>
                <w:rStyle w:val="Lienhypertexte"/>
                <w:noProof/>
              </w:rPr>
              <w:t>Commission parlementaire et conciliation</w:t>
            </w:r>
            <w:r w:rsidR="00914F6A">
              <w:rPr>
                <w:noProof/>
                <w:webHidden/>
              </w:rPr>
              <w:tab/>
            </w:r>
            <w:r>
              <w:rPr>
                <w:noProof/>
                <w:webHidden/>
              </w:rPr>
              <w:fldChar w:fldCharType="begin"/>
            </w:r>
            <w:r w:rsidR="00914F6A">
              <w:rPr>
                <w:noProof/>
                <w:webHidden/>
              </w:rPr>
              <w:instrText xml:space="preserve"> PAGEREF _Toc433705720 \h </w:instrText>
            </w:r>
            <w:r>
              <w:rPr>
                <w:noProof/>
                <w:webHidden/>
              </w:rPr>
            </w:r>
            <w:r>
              <w:rPr>
                <w:noProof/>
                <w:webHidden/>
              </w:rPr>
              <w:fldChar w:fldCharType="separate"/>
            </w:r>
            <w:r w:rsidR="00914F6A">
              <w:rPr>
                <w:noProof/>
                <w:webHidden/>
              </w:rPr>
              <w:t>9</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21" w:history="1">
            <w:r w:rsidR="00914F6A" w:rsidRPr="00BE3198">
              <w:rPr>
                <w:rStyle w:val="Lienhypertexte"/>
                <w:noProof/>
              </w:rPr>
              <w:t>On ne négocie pas avec l’opinion publique : la FIIQ en 1999</w:t>
            </w:r>
            <w:r w:rsidR="00914F6A">
              <w:rPr>
                <w:noProof/>
                <w:webHidden/>
              </w:rPr>
              <w:tab/>
            </w:r>
            <w:r>
              <w:rPr>
                <w:noProof/>
                <w:webHidden/>
              </w:rPr>
              <w:fldChar w:fldCharType="begin"/>
            </w:r>
            <w:r w:rsidR="00914F6A">
              <w:rPr>
                <w:noProof/>
                <w:webHidden/>
              </w:rPr>
              <w:instrText xml:space="preserve"> PAGEREF _Toc433705721 \h </w:instrText>
            </w:r>
            <w:r>
              <w:rPr>
                <w:noProof/>
                <w:webHidden/>
              </w:rPr>
            </w:r>
            <w:r>
              <w:rPr>
                <w:noProof/>
                <w:webHidden/>
              </w:rPr>
              <w:fldChar w:fldCharType="separate"/>
            </w:r>
            <w:r w:rsidR="00914F6A">
              <w:rPr>
                <w:noProof/>
                <w:webHidden/>
              </w:rPr>
              <w:t>9</w:t>
            </w:r>
            <w:r>
              <w:rPr>
                <w:noProof/>
                <w:webHidden/>
              </w:rPr>
              <w:fldChar w:fldCharType="end"/>
            </w:r>
          </w:hyperlink>
        </w:p>
        <w:p w:rsidR="00914F6A" w:rsidRDefault="00A97376">
          <w:pPr>
            <w:pStyle w:val="TM3"/>
            <w:tabs>
              <w:tab w:val="right" w:leader="dot" w:pos="10064"/>
            </w:tabs>
            <w:rPr>
              <w:rFonts w:asciiTheme="minorHAnsi" w:eastAsiaTheme="minorEastAsia" w:hAnsiTheme="minorHAnsi"/>
              <w:noProof/>
              <w:lang w:eastAsia="fr-CA"/>
            </w:rPr>
          </w:pPr>
          <w:hyperlink w:anchor="_Toc433705722" w:history="1">
            <w:r w:rsidR="00914F6A" w:rsidRPr="00BE3198">
              <w:rPr>
                <w:rStyle w:val="Lienhypertexte"/>
                <w:noProof/>
              </w:rPr>
              <w:t>Chronologie</w:t>
            </w:r>
            <w:r w:rsidR="00914F6A">
              <w:rPr>
                <w:noProof/>
                <w:webHidden/>
              </w:rPr>
              <w:tab/>
            </w:r>
            <w:r>
              <w:rPr>
                <w:noProof/>
                <w:webHidden/>
              </w:rPr>
              <w:fldChar w:fldCharType="begin"/>
            </w:r>
            <w:r w:rsidR="00914F6A">
              <w:rPr>
                <w:noProof/>
                <w:webHidden/>
              </w:rPr>
              <w:instrText xml:space="preserve"> PAGEREF _Toc433705722 \h </w:instrText>
            </w:r>
            <w:r>
              <w:rPr>
                <w:noProof/>
                <w:webHidden/>
              </w:rPr>
            </w:r>
            <w:r>
              <w:rPr>
                <w:noProof/>
                <w:webHidden/>
              </w:rPr>
              <w:fldChar w:fldCharType="separate"/>
            </w:r>
            <w:r w:rsidR="00914F6A">
              <w:rPr>
                <w:noProof/>
                <w:webHidden/>
              </w:rPr>
              <w:t>9</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23" w:history="1">
            <w:r w:rsidR="00914F6A" w:rsidRPr="00BE3198">
              <w:rPr>
                <w:rStyle w:val="Lienhypertexte"/>
                <w:noProof/>
              </w:rPr>
              <w:t>La FSSS et les services essentiels</w:t>
            </w:r>
            <w:r w:rsidR="00914F6A">
              <w:rPr>
                <w:noProof/>
                <w:webHidden/>
              </w:rPr>
              <w:tab/>
            </w:r>
            <w:r>
              <w:rPr>
                <w:noProof/>
                <w:webHidden/>
              </w:rPr>
              <w:fldChar w:fldCharType="begin"/>
            </w:r>
            <w:r w:rsidR="00914F6A">
              <w:rPr>
                <w:noProof/>
                <w:webHidden/>
              </w:rPr>
              <w:instrText xml:space="preserve"> PAGEREF _Toc433705723 \h </w:instrText>
            </w:r>
            <w:r>
              <w:rPr>
                <w:noProof/>
                <w:webHidden/>
              </w:rPr>
            </w:r>
            <w:r>
              <w:rPr>
                <w:noProof/>
                <w:webHidden/>
              </w:rPr>
              <w:fldChar w:fldCharType="separate"/>
            </w:r>
            <w:r w:rsidR="00914F6A">
              <w:rPr>
                <w:noProof/>
                <w:webHidden/>
              </w:rPr>
              <w:t>10</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24" w:history="1">
            <w:r w:rsidR="00914F6A" w:rsidRPr="00BE3198">
              <w:rPr>
                <w:rStyle w:val="Lienhypertexte"/>
                <w:noProof/>
              </w:rPr>
              <w:t>La FNEEQ en 2005 : « signé sous la contrainte »</w:t>
            </w:r>
            <w:r w:rsidR="00914F6A">
              <w:rPr>
                <w:noProof/>
                <w:webHidden/>
              </w:rPr>
              <w:tab/>
            </w:r>
            <w:r>
              <w:rPr>
                <w:noProof/>
                <w:webHidden/>
              </w:rPr>
              <w:fldChar w:fldCharType="begin"/>
            </w:r>
            <w:r w:rsidR="00914F6A">
              <w:rPr>
                <w:noProof/>
                <w:webHidden/>
              </w:rPr>
              <w:instrText xml:space="preserve"> PAGEREF _Toc433705724 \h </w:instrText>
            </w:r>
            <w:r>
              <w:rPr>
                <w:noProof/>
                <w:webHidden/>
              </w:rPr>
            </w:r>
            <w:r>
              <w:rPr>
                <w:noProof/>
                <w:webHidden/>
              </w:rPr>
              <w:fldChar w:fldCharType="separate"/>
            </w:r>
            <w:r w:rsidR="00914F6A">
              <w:rPr>
                <w:noProof/>
                <w:webHidden/>
              </w:rPr>
              <w:t>11</w:t>
            </w:r>
            <w:r>
              <w:rPr>
                <w:noProof/>
                <w:webHidden/>
              </w:rPr>
              <w:fldChar w:fldCharType="end"/>
            </w:r>
          </w:hyperlink>
        </w:p>
        <w:p w:rsidR="00914F6A" w:rsidRDefault="00A97376">
          <w:pPr>
            <w:pStyle w:val="TM2"/>
            <w:tabs>
              <w:tab w:val="right" w:leader="dot" w:pos="10064"/>
            </w:tabs>
            <w:rPr>
              <w:rFonts w:asciiTheme="minorHAnsi" w:eastAsiaTheme="minorEastAsia" w:hAnsiTheme="minorHAnsi"/>
              <w:noProof/>
              <w:lang w:eastAsia="fr-CA"/>
            </w:rPr>
          </w:pPr>
          <w:hyperlink w:anchor="_Toc433705725" w:history="1">
            <w:r w:rsidR="00914F6A" w:rsidRPr="00BE3198">
              <w:rPr>
                <w:rStyle w:val="Lienhypertexte"/>
                <w:noProof/>
              </w:rPr>
              <w:t>La grève étudiante de 2012 : le droit de manifester plus que fragilisé</w:t>
            </w:r>
            <w:r w:rsidR="00914F6A">
              <w:rPr>
                <w:noProof/>
                <w:webHidden/>
              </w:rPr>
              <w:tab/>
            </w:r>
            <w:r>
              <w:rPr>
                <w:noProof/>
                <w:webHidden/>
              </w:rPr>
              <w:fldChar w:fldCharType="begin"/>
            </w:r>
            <w:r w:rsidR="00914F6A">
              <w:rPr>
                <w:noProof/>
                <w:webHidden/>
              </w:rPr>
              <w:instrText xml:space="preserve"> PAGEREF _Toc433705725 \h </w:instrText>
            </w:r>
            <w:r>
              <w:rPr>
                <w:noProof/>
                <w:webHidden/>
              </w:rPr>
            </w:r>
            <w:r>
              <w:rPr>
                <w:noProof/>
                <w:webHidden/>
              </w:rPr>
              <w:fldChar w:fldCharType="separate"/>
            </w:r>
            <w:r w:rsidR="00914F6A">
              <w:rPr>
                <w:noProof/>
                <w:webHidden/>
              </w:rPr>
              <w:t>12</w:t>
            </w:r>
            <w:r>
              <w:rPr>
                <w:noProof/>
                <w:webHidden/>
              </w:rPr>
              <w:fldChar w:fldCharType="end"/>
            </w:r>
          </w:hyperlink>
        </w:p>
        <w:p w:rsidR="00135B03" w:rsidRPr="00135B03" w:rsidRDefault="00A97376" w:rsidP="00135B03">
          <w:pPr>
            <w:pStyle w:val="TM2"/>
            <w:tabs>
              <w:tab w:val="right" w:leader="dot" w:pos="10064"/>
            </w:tabs>
            <w:sectPr w:rsidR="00135B03" w:rsidRPr="00135B03" w:rsidSect="009A6551">
              <w:headerReference w:type="even" r:id="rId12"/>
              <w:headerReference w:type="default" r:id="rId13"/>
              <w:footerReference w:type="even" r:id="rId14"/>
              <w:footerReference w:type="default" r:id="rId15"/>
              <w:headerReference w:type="first" r:id="rId16"/>
              <w:footerReference w:type="first" r:id="rId17"/>
              <w:pgSz w:w="12240" w:h="15840"/>
              <w:pgMar w:top="1440" w:right="1083" w:bottom="1440" w:left="1083" w:header="709" w:footer="454" w:gutter="0"/>
              <w:cols w:space="708"/>
              <w:docGrid w:linePitch="360"/>
            </w:sectPr>
          </w:pPr>
          <w:r>
            <w:rPr>
              <w:b/>
              <w:bCs/>
              <w:lang w:val="fr-FR"/>
            </w:rPr>
            <w:fldChar w:fldCharType="end"/>
          </w:r>
        </w:p>
      </w:sdtContent>
    </w:sdt>
    <w:p w:rsidR="00FC3EA0" w:rsidRPr="00265400" w:rsidRDefault="00FC3EA0" w:rsidP="00135B03">
      <w:pPr>
        <w:pStyle w:val="Titre1"/>
      </w:pPr>
      <w:bookmarkStart w:id="1" w:name="_Toc433705697"/>
      <w:r w:rsidRPr="00265400">
        <w:lastRenderedPageBreak/>
        <w:t>Historique des lois spéciales</w:t>
      </w:r>
      <w:bookmarkEnd w:id="1"/>
      <w:r w:rsidRPr="00265400">
        <w:t xml:space="preserve"> </w:t>
      </w:r>
    </w:p>
    <w:p w:rsidR="00732C10" w:rsidRPr="00F66603" w:rsidRDefault="00732C10" w:rsidP="00FA521F">
      <w:pPr>
        <w:ind w:left="709" w:right="1143"/>
        <w:rPr>
          <w:i/>
        </w:rPr>
      </w:pPr>
      <w:r w:rsidRPr="00F66603">
        <w:rPr>
          <w:i/>
          <w:lang/>
        </w:rPr>
        <w:t>Le droit de grève est une nécessité dans une société comme la nôtr</w:t>
      </w:r>
      <w:r w:rsidR="009F7CE5">
        <w:rPr>
          <w:i/>
          <w:lang/>
        </w:rPr>
        <w:t>e et dans toute société. Enlevez</w:t>
      </w:r>
      <w:r w:rsidRPr="00F66603">
        <w:rPr>
          <w:i/>
          <w:lang/>
        </w:rPr>
        <w:t xml:space="preserve"> le droit de grève, et tout ce que vous aurez c’est une société très autoritaire </w:t>
      </w:r>
      <w:r w:rsidR="0051701A">
        <w:rPr>
          <w:i/>
          <w:lang/>
        </w:rPr>
        <w:t>[</w:t>
      </w:r>
      <w:r w:rsidRPr="00F66603">
        <w:rPr>
          <w:i/>
          <w:lang/>
        </w:rPr>
        <w:t>…</w:t>
      </w:r>
      <w:r w:rsidR="0051701A">
        <w:rPr>
          <w:i/>
          <w:lang/>
        </w:rPr>
        <w:t>]</w:t>
      </w:r>
      <w:r w:rsidRPr="00F66603">
        <w:rPr>
          <w:i/>
          <w:lang/>
        </w:rPr>
        <w:t xml:space="preserve"> où les décisions sont prises par décret, par décision gouvernementale </w:t>
      </w:r>
      <w:r w:rsidR="0051701A">
        <w:rPr>
          <w:i/>
          <w:lang/>
        </w:rPr>
        <w:t>[</w:t>
      </w:r>
      <w:r w:rsidRPr="00F66603">
        <w:rPr>
          <w:i/>
          <w:lang/>
        </w:rPr>
        <w:t>…</w:t>
      </w:r>
      <w:r w:rsidR="0051701A">
        <w:rPr>
          <w:i/>
          <w:lang/>
        </w:rPr>
        <w:t>].</w:t>
      </w:r>
    </w:p>
    <w:p w:rsidR="00732C10" w:rsidRPr="00265400" w:rsidRDefault="009F7CE5" w:rsidP="009F7CE5">
      <w:pPr>
        <w:ind w:left="709"/>
      </w:pPr>
      <w:r>
        <w:rPr>
          <w:lang/>
        </w:rPr>
        <w:t>Marcel Pe</w:t>
      </w:r>
      <w:r w:rsidR="00732C10" w:rsidRPr="00265400">
        <w:rPr>
          <w:lang/>
        </w:rPr>
        <w:t>pin</w:t>
      </w:r>
    </w:p>
    <w:p w:rsidR="00732C10" w:rsidRPr="00414EFF" w:rsidRDefault="00732C10" w:rsidP="00414EFF">
      <w:pPr>
        <w:pStyle w:val="Titre2"/>
      </w:pPr>
      <w:bookmarkStart w:id="2" w:name="_Toc433705698"/>
      <w:r w:rsidRPr="00414EFF">
        <w:t>De l’usage répété de l’exception</w:t>
      </w:r>
      <w:bookmarkEnd w:id="2"/>
    </w:p>
    <w:p w:rsidR="00732C10" w:rsidRPr="00265400" w:rsidRDefault="00732C10" w:rsidP="00F45C82">
      <w:r w:rsidRPr="00265400">
        <w:t xml:space="preserve">Entre 1965 et 2015, </w:t>
      </w:r>
      <w:r w:rsidR="00872C33">
        <w:t xml:space="preserve">plus de </w:t>
      </w:r>
      <w:r w:rsidRPr="00265400">
        <w:t>40 lois spéciales ont été adoptées au Québec</w:t>
      </w:r>
      <w:r w:rsidR="00C4163C" w:rsidRPr="00265400">
        <w:t xml:space="preserve"> pour mettre fin à des conflits de travail</w:t>
      </w:r>
      <w:r w:rsidRPr="00265400">
        <w:t>.</w:t>
      </w:r>
      <w:r w:rsidR="00BA25F9">
        <w:t xml:space="preserve"> Ce nombre élevé témoigne en partie de </w:t>
      </w:r>
      <w:r w:rsidRPr="00265400">
        <w:t xml:space="preserve">l’échec du régime de négociation </w:t>
      </w:r>
      <w:r w:rsidR="00C4163C" w:rsidRPr="00265400">
        <w:t>dans le secteur public</w:t>
      </w:r>
      <w:r w:rsidRPr="00265400">
        <w:t>. Éche</w:t>
      </w:r>
      <w:r w:rsidR="001A0482">
        <w:t>c, car toute loi spéciale,</w:t>
      </w:r>
      <w:r w:rsidRPr="00265400">
        <w:t xml:space="preserve"> </w:t>
      </w:r>
      <w:r w:rsidR="001A0482">
        <w:t>qu’on la qualifie de</w:t>
      </w:r>
      <w:r w:rsidRPr="00265400">
        <w:t xml:space="preserve"> légitime ou </w:t>
      </w:r>
      <w:r w:rsidR="001A0482">
        <w:t>d’inique, marque une</w:t>
      </w:r>
      <w:r w:rsidRPr="00265400">
        <w:t xml:space="preserve"> rupture avec</w:t>
      </w:r>
      <w:r w:rsidR="001A0482">
        <w:t xml:space="preserve"> la négociation,</w:t>
      </w:r>
      <w:r w:rsidRPr="00265400">
        <w:t xml:space="preserve"> un des principes clés</w:t>
      </w:r>
      <w:r w:rsidR="001A0482">
        <w:t xml:space="preserve"> de notre système de relations du</w:t>
      </w:r>
      <w:r w:rsidRPr="00265400">
        <w:t xml:space="preserve"> </w:t>
      </w:r>
      <w:r w:rsidR="001A0482">
        <w:t>travail</w:t>
      </w:r>
      <w:r w:rsidRPr="00265400">
        <w:t>. L</w:t>
      </w:r>
      <w:r w:rsidR="001A0482">
        <w:t>’histoire des lois spéciales est aussi celle</w:t>
      </w:r>
      <w:r w:rsidRPr="00265400">
        <w:t xml:space="preserve"> du refus du gouvernement d’accepter que les syndicats ont le </w:t>
      </w:r>
      <w:r w:rsidR="001A0482">
        <w:t xml:space="preserve">droit de négocier et de </w:t>
      </w:r>
      <w:r w:rsidRPr="00265400">
        <w:t xml:space="preserve">recourir à la grève </w:t>
      </w:r>
      <w:r w:rsidR="001A0482">
        <w:t xml:space="preserve">quand la situation le requière </w:t>
      </w:r>
      <w:r w:rsidRPr="00265400">
        <w:t>pour se faire entendre.</w:t>
      </w:r>
    </w:p>
    <w:p w:rsidR="00732C10" w:rsidRPr="00265400" w:rsidRDefault="00732C10" w:rsidP="00414EFF">
      <w:pPr>
        <w:pStyle w:val="Titre2"/>
      </w:pPr>
      <w:bookmarkStart w:id="3" w:name="_Toc433705699"/>
      <w:r w:rsidRPr="00265400">
        <w:t>« La reine ne négocie pas avec ses sujets »</w:t>
      </w:r>
      <w:bookmarkEnd w:id="3"/>
    </w:p>
    <w:p w:rsidR="00732C10" w:rsidRPr="00265400" w:rsidRDefault="00732C10" w:rsidP="00F45C82">
      <w:r w:rsidRPr="00265400">
        <w:t>Ce propos, tenu par Jean Lesage en 1962, alors</w:t>
      </w:r>
      <w:r w:rsidR="002E7D92">
        <w:t xml:space="preserve"> </w:t>
      </w:r>
      <w:r w:rsidRPr="00265400">
        <w:t>premier ministre du Québec, reflète bien l’esprit des relations d</w:t>
      </w:r>
      <w:r w:rsidR="001A0482">
        <w:t>u</w:t>
      </w:r>
      <w:r w:rsidRPr="00265400">
        <w:t xml:space="preserve"> travail de l’époque. En effet, avant 1964, les </w:t>
      </w:r>
      <w:r w:rsidR="00550230">
        <w:t xml:space="preserve">employées et les </w:t>
      </w:r>
      <w:r w:rsidRPr="00265400">
        <w:t>employés des services publics n’ont pas le dro</w:t>
      </w:r>
      <w:r w:rsidR="001A0482">
        <w:t xml:space="preserve">it de grève. Cela ne les </w:t>
      </w:r>
      <w:r w:rsidRPr="00265400">
        <w:t>empêche</w:t>
      </w:r>
      <w:r w:rsidR="001A0482">
        <w:t xml:space="preserve"> pas cependant de faire la grève, </w:t>
      </w:r>
      <w:r w:rsidR="00872C33">
        <w:t xml:space="preserve">illégale, </w:t>
      </w:r>
      <w:r w:rsidR="001A0482">
        <w:t xml:space="preserve">comme </w:t>
      </w:r>
      <w:r w:rsidR="00550230">
        <w:t>c’</w:t>
      </w:r>
      <w:r w:rsidR="001A0482">
        <w:t>es</w:t>
      </w:r>
      <w:r w:rsidR="00550230">
        <w:t>t le cas des</w:t>
      </w:r>
      <w:r w:rsidR="001A0482">
        <w:t xml:space="preserve"> infirmières en</w:t>
      </w:r>
      <w:r w:rsidRPr="00265400">
        <w:t xml:space="preserve"> octobre 1963. </w:t>
      </w:r>
    </w:p>
    <w:p w:rsidR="00732C10" w:rsidRPr="00850A9B" w:rsidRDefault="00732C10" w:rsidP="00414EFF">
      <w:pPr>
        <w:pStyle w:val="Titre2"/>
      </w:pPr>
      <w:bookmarkStart w:id="4" w:name="_Toc433705700"/>
      <w:r w:rsidRPr="00850A9B">
        <w:t>Un changement de paradigme</w:t>
      </w:r>
      <w:bookmarkEnd w:id="4"/>
    </w:p>
    <w:p w:rsidR="00732C10" w:rsidRPr="00265400" w:rsidRDefault="00732C10" w:rsidP="00F45C82">
      <w:r w:rsidRPr="00265400">
        <w:t xml:space="preserve">L’adoption du </w:t>
      </w:r>
      <w:r w:rsidRPr="0035762A">
        <w:rPr>
          <w:i/>
        </w:rPr>
        <w:t>Code du travail</w:t>
      </w:r>
      <w:r w:rsidRPr="00265400">
        <w:t xml:space="preserve"> (1964) et</w:t>
      </w:r>
      <w:r w:rsidR="001A0482">
        <w:t xml:space="preserve"> de</w:t>
      </w:r>
      <w:r w:rsidRPr="00265400">
        <w:t xml:space="preserve"> la </w:t>
      </w:r>
      <w:r w:rsidRPr="0035762A">
        <w:rPr>
          <w:i/>
        </w:rPr>
        <w:t>Loi sur la fonction publique</w:t>
      </w:r>
      <w:r w:rsidRPr="00265400">
        <w:t xml:space="preserve"> (1965) sont deux moments importants de l’histoire des relations d</w:t>
      </w:r>
      <w:r w:rsidR="001A0482">
        <w:t>u travail au Québec. L</w:t>
      </w:r>
      <w:r w:rsidRPr="00265400">
        <w:t xml:space="preserve">e </w:t>
      </w:r>
      <w:r w:rsidRPr="001A0482">
        <w:rPr>
          <w:i/>
        </w:rPr>
        <w:t>Code du travail</w:t>
      </w:r>
      <w:r w:rsidR="001A0482">
        <w:t xml:space="preserve"> reconnaît</w:t>
      </w:r>
      <w:r w:rsidRPr="00265400">
        <w:t xml:space="preserve"> certains</w:t>
      </w:r>
      <w:r w:rsidR="001A0482">
        <w:t xml:space="preserve"> droits syndicaux fondamentaux</w:t>
      </w:r>
      <w:r w:rsidR="00377A38">
        <w:t>,</w:t>
      </w:r>
      <w:r w:rsidR="001A0482">
        <w:t xml:space="preserve"> dont le </w:t>
      </w:r>
      <w:r w:rsidRPr="00265400">
        <w:t xml:space="preserve">droit d’association plus large, </w:t>
      </w:r>
      <w:r w:rsidR="00550230">
        <w:t xml:space="preserve">ainsi que </w:t>
      </w:r>
      <w:r w:rsidR="001A0482">
        <w:t xml:space="preserve">le </w:t>
      </w:r>
      <w:r w:rsidRPr="00265400">
        <w:t xml:space="preserve">droit de grève dans les hôpitaux, </w:t>
      </w:r>
      <w:r w:rsidR="001A0482">
        <w:t xml:space="preserve">les </w:t>
      </w:r>
      <w:r w:rsidRPr="00265400">
        <w:t xml:space="preserve">municipalités et les </w:t>
      </w:r>
      <w:r w:rsidR="00550230">
        <w:t>c</w:t>
      </w:r>
      <w:r w:rsidRPr="00265400">
        <w:t>ommission</w:t>
      </w:r>
      <w:r w:rsidR="001A0482">
        <w:t>s scolaires</w:t>
      </w:r>
      <w:r w:rsidRPr="00265400">
        <w:t>. En 1965, les</w:t>
      </w:r>
      <w:r w:rsidR="001A0482">
        <w:t xml:space="preserve"> enseignantes et les</w:t>
      </w:r>
      <w:r w:rsidRPr="00265400">
        <w:t xml:space="preserve"> enseignants obt</w:t>
      </w:r>
      <w:r w:rsidR="001A0482">
        <w:t xml:space="preserve">iennent </w:t>
      </w:r>
      <w:r w:rsidR="00550230">
        <w:t xml:space="preserve">à leur tour </w:t>
      </w:r>
      <w:r w:rsidR="001A0482">
        <w:t xml:space="preserve">le droit de grève, de même </w:t>
      </w:r>
      <w:r w:rsidRPr="00265400">
        <w:t xml:space="preserve">que </w:t>
      </w:r>
      <w:r w:rsidR="001A0482">
        <w:t>les fonctionnaires. De plus, ces derniers o</w:t>
      </w:r>
      <w:r w:rsidRPr="00265400">
        <w:t>nt dorénavant le droit de s’affil</w:t>
      </w:r>
      <w:r w:rsidR="00161BEF">
        <w:t>i</w:t>
      </w:r>
      <w:r w:rsidR="001A0482">
        <w:t>er à une centrale syndicale.</w:t>
      </w:r>
    </w:p>
    <w:p w:rsidR="00732C10" w:rsidRPr="00265400" w:rsidRDefault="00732C10" w:rsidP="00F45C82">
      <w:r w:rsidRPr="00265400">
        <w:t xml:space="preserve">Ces gains sont </w:t>
      </w:r>
      <w:r w:rsidR="00550230">
        <w:t>le fruit</w:t>
      </w:r>
      <w:r w:rsidRPr="00265400">
        <w:t xml:space="preserve"> </w:t>
      </w:r>
      <w:r w:rsidR="001A0482">
        <w:t>d’</w:t>
      </w:r>
      <w:r w:rsidRPr="00265400">
        <w:t>un compromis social plus large. En fa</w:t>
      </w:r>
      <w:r w:rsidR="001A0482">
        <w:t>it, les acteurs de l’époque cherchent à pacifier les relations du</w:t>
      </w:r>
      <w:r w:rsidRPr="00265400">
        <w:t xml:space="preserve"> travail en structurant l’exercice du droit de grève. En effet, après 1964</w:t>
      </w:r>
      <w:r w:rsidR="001A0482">
        <w:t>,</w:t>
      </w:r>
      <w:r w:rsidRPr="00265400">
        <w:t xml:space="preserve"> l’exercice de ce droit est reconnu exclusivement aux syndicats. De plus, le droit de grève ne pourra s’exercer qu’en pério</w:t>
      </w:r>
      <w:r w:rsidR="001A0482">
        <w:t>de de négociation, et ce, en fonction d</w:t>
      </w:r>
      <w:r w:rsidRPr="00265400">
        <w:t xml:space="preserve">u respect de nombreux critères prévus par la loi. </w:t>
      </w:r>
    </w:p>
    <w:p w:rsidR="00732C10" w:rsidRPr="00265400" w:rsidRDefault="00732C10" w:rsidP="00414EFF">
      <w:pPr>
        <w:pStyle w:val="Titre2"/>
      </w:pPr>
      <w:bookmarkStart w:id="5" w:name="_Toc433705701"/>
      <w:r w:rsidRPr="00265400">
        <w:t>Les premières lois spéciales</w:t>
      </w:r>
      <w:bookmarkEnd w:id="5"/>
    </w:p>
    <w:p w:rsidR="00732C10" w:rsidRPr="00265400" w:rsidRDefault="00732C10" w:rsidP="00F45C82">
      <w:r w:rsidRPr="00265400">
        <w:t>Dès 1965, le gouvernement, qui espère éviter les grèves dans le</w:t>
      </w:r>
      <w:r w:rsidR="001A0482">
        <w:t>s</w:t>
      </w:r>
      <w:r w:rsidRPr="00265400">
        <w:t xml:space="preserve"> secteur</w:t>
      </w:r>
      <w:r w:rsidR="001A0482">
        <w:t>s</w:t>
      </w:r>
      <w:r w:rsidRPr="00265400">
        <w:t xml:space="preserve"> public et parapublic avec l’avènement du nouveau </w:t>
      </w:r>
      <w:r w:rsidR="00014602">
        <w:t>paradigme des relations du</w:t>
      </w:r>
      <w:r w:rsidRPr="00265400">
        <w:t xml:space="preserve"> travail, adopte une loi spéciale</w:t>
      </w:r>
      <w:r w:rsidRPr="00265400">
        <w:rPr>
          <w:vertAlign w:val="superscript"/>
        </w:rPr>
        <w:footnoteReference w:id="1"/>
      </w:r>
      <w:r w:rsidRPr="00265400">
        <w:t xml:space="preserve"> à</w:t>
      </w:r>
      <w:r w:rsidR="009F6938" w:rsidRPr="00265400">
        <w:t xml:space="preserve"> la suite</w:t>
      </w:r>
      <w:r w:rsidRPr="00265400">
        <w:t xml:space="preserve"> </w:t>
      </w:r>
      <w:r w:rsidR="009F6938" w:rsidRPr="00265400">
        <w:t>d’</w:t>
      </w:r>
      <w:r w:rsidRPr="00265400">
        <w:t xml:space="preserve">une grève légale de 5 jours dans le secteur maritime. Bien que ce conflit soit extérieur à la juridiction du </w:t>
      </w:r>
      <w:r w:rsidRPr="00014602">
        <w:rPr>
          <w:i/>
        </w:rPr>
        <w:t>Code du travail</w:t>
      </w:r>
      <w:r w:rsidRPr="00265400">
        <w:t>, la réponse du législateur par la voie d’une loi d’exception annonce ce à quoi ressembleront les négociations dans le</w:t>
      </w:r>
      <w:r w:rsidR="00014602">
        <w:t>s</w:t>
      </w:r>
      <w:r w:rsidRPr="00265400">
        <w:t xml:space="preserve"> secteur</w:t>
      </w:r>
      <w:r w:rsidR="00014602">
        <w:t>s</w:t>
      </w:r>
      <w:r w:rsidRPr="00265400">
        <w:t xml:space="preserve"> public et parapublic au cours de</w:t>
      </w:r>
      <w:r w:rsidR="00014602">
        <w:t>s décennies à venir. À peine t</w:t>
      </w:r>
      <w:r w:rsidRPr="00265400">
        <w:t xml:space="preserve">rois ans plus tard, une première loi spéciale dans le secteur de l’éducation est adoptée </w:t>
      </w:r>
      <w:r w:rsidR="00014602">
        <w:t>après le déclenchement</w:t>
      </w:r>
      <w:r w:rsidR="0035762A">
        <w:t xml:space="preserve"> d’</w:t>
      </w:r>
      <w:r w:rsidRPr="00265400">
        <w:t>une grève dans les ét</w:t>
      </w:r>
      <w:r w:rsidR="00014602">
        <w:t xml:space="preserve">ablissements scolaires et à laquelle participent </w:t>
      </w:r>
      <w:r w:rsidRPr="00265400">
        <w:t>65 00</w:t>
      </w:r>
      <w:r w:rsidR="00014602">
        <w:t>0 enseignantes et enseignants</w:t>
      </w:r>
      <w:r w:rsidR="00550230">
        <w:t>,</w:t>
      </w:r>
      <w:r w:rsidR="00014602">
        <w:t xml:space="preserve"> dont 15 000 sont </w:t>
      </w:r>
      <w:r w:rsidRPr="00265400">
        <w:t xml:space="preserve">toujours </w:t>
      </w:r>
      <w:r w:rsidR="00014602">
        <w:t xml:space="preserve">en grève </w:t>
      </w:r>
      <w:r w:rsidRPr="00265400">
        <w:t>lors de l’adoption de la loi.</w:t>
      </w:r>
    </w:p>
    <w:p w:rsidR="00732C10" w:rsidRPr="00265400" w:rsidRDefault="00732C10" w:rsidP="00F45C82">
      <w:r w:rsidRPr="00265400">
        <w:t xml:space="preserve">De 1965 à 1975, les lois spéciales adoptées visent essentiellement à décréter les conditions de travail, à suspendre le droit de grève des salariées </w:t>
      </w:r>
      <w:r w:rsidR="00014602">
        <w:t xml:space="preserve">et des salariés </w:t>
      </w:r>
      <w:r w:rsidRPr="00265400">
        <w:t>et à imposer de lourdes amendes à ce</w:t>
      </w:r>
      <w:r w:rsidR="00014602">
        <w:t>ux qui refuseraient de s’y conformer</w:t>
      </w:r>
      <w:r w:rsidRPr="00265400">
        <w:t>.</w:t>
      </w:r>
    </w:p>
    <w:p w:rsidR="00732C10" w:rsidRPr="00265400" w:rsidRDefault="00732C10" w:rsidP="00F45C82">
      <w:r w:rsidRPr="00265400">
        <w:t xml:space="preserve">La </w:t>
      </w:r>
      <w:r w:rsidRPr="00F66603">
        <w:rPr>
          <w:i/>
        </w:rPr>
        <w:t>Loi concernant les services de santé dans certains établissements</w:t>
      </w:r>
      <w:r w:rsidRPr="00265400">
        <w:t xml:space="preserve"> (Loi 61) et la </w:t>
      </w:r>
      <w:r w:rsidRPr="00F66603">
        <w:rPr>
          <w:i/>
        </w:rPr>
        <w:t>Loi concernant le maintien des services dans le domaine de l’éducation</w:t>
      </w:r>
      <w:r w:rsidRPr="00265400">
        <w:t xml:space="preserve"> (Loi 23), toutes deux adoptées en 1976, contiennent des dispositions plus répressives que les lois antérieures, </w:t>
      </w:r>
      <w:r w:rsidR="00014602">
        <w:t>et</w:t>
      </w:r>
      <w:r w:rsidRPr="00265400">
        <w:t xml:space="preserve"> qui seront reprises dans la plupart d</w:t>
      </w:r>
      <w:r w:rsidR="00014602">
        <w:t>es lois ultérieures. Ces lois introduisent notamment</w:t>
      </w:r>
      <w:r w:rsidRPr="00265400">
        <w:t xml:space="preserve"> une présomption de culpabilité pour les travailleuses et les travailleurs, elles permettent de mettre fin temporairement au précompte syndical et </w:t>
      </w:r>
      <w:r w:rsidR="00014602">
        <w:t xml:space="preserve">elles peuvent empêcher </w:t>
      </w:r>
      <w:r w:rsidRPr="00265400">
        <w:t>les</w:t>
      </w:r>
      <w:r w:rsidR="00014602">
        <w:t xml:space="preserve"> représentantes et les</w:t>
      </w:r>
      <w:r w:rsidRPr="00265400">
        <w:t xml:space="preserve"> représentants syndicaux d’occuper une fonction syndicale pendant deux ans s’ils contreviennent à la loi.</w:t>
      </w:r>
    </w:p>
    <w:p w:rsidR="00732C10" w:rsidRPr="00265400" w:rsidRDefault="00732C10" w:rsidP="00414EFF">
      <w:pPr>
        <w:pStyle w:val="Titre2"/>
      </w:pPr>
      <w:bookmarkStart w:id="6" w:name="_Toc433705702"/>
      <w:r w:rsidRPr="00265400">
        <w:t>Le tournant de 1982-1983</w:t>
      </w:r>
      <w:bookmarkEnd w:id="6"/>
    </w:p>
    <w:p w:rsidR="00732C10" w:rsidRPr="00265400" w:rsidRDefault="008237E9" w:rsidP="00F45C82">
      <w:r>
        <w:t>Même si</w:t>
      </w:r>
      <w:r w:rsidR="00732C10" w:rsidRPr="00265400">
        <w:t xml:space="preserve"> le Parti québéc</w:t>
      </w:r>
      <w:r>
        <w:t>ois s’est présenté comme le parti des travailleuses et des travailleur</w:t>
      </w:r>
      <w:r w:rsidR="00732C10" w:rsidRPr="00265400">
        <w:t>s, et malg</w:t>
      </w:r>
      <w:r>
        <w:t>ré le fait qu’il a annulé</w:t>
      </w:r>
      <w:r w:rsidR="00732C10" w:rsidRPr="00265400">
        <w:t xml:space="preserve"> près de 50 millions de dollars de pénalités </w:t>
      </w:r>
      <w:r>
        <w:t>imposées par l</w:t>
      </w:r>
      <w:r w:rsidR="00732C10" w:rsidRPr="00265400">
        <w:t>es lois 61 et 23 de 1976, c’est sous le gouvernement de René Lévesque qu’est adoptée l’une des pires lois spéciales de l’histoire du Québec. Pour plusieurs, ce durcissement n’est pas étranger à l’arrivée des pol</w:t>
      </w:r>
      <w:r>
        <w:t>itiques néolibérales</w:t>
      </w:r>
      <w:r w:rsidR="00732C10" w:rsidRPr="00265400">
        <w:t xml:space="preserve"> qui se butent à la résistance des travailleuses et des travailleurs.</w:t>
      </w:r>
    </w:p>
    <w:p w:rsidR="00732C10" w:rsidRPr="00265400" w:rsidRDefault="00732C10" w:rsidP="00F45C82">
      <w:r w:rsidRPr="00265400">
        <w:t xml:space="preserve">Après avoir adopté par décret à la fin de l’automne 1982 les conditions de travail des </w:t>
      </w:r>
      <w:r w:rsidR="00550230">
        <w:t xml:space="preserve">employées et des </w:t>
      </w:r>
      <w:r w:rsidRPr="00265400">
        <w:t>employés des secteurs public et parapublic, le gouverneme</w:t>
      </w:r>
      <w:r w:rsidR="00B22A09">
        <w:t>nt de René Lévesque, sentant l’im</w:t>
      </w:r>
      <w:r w:rsidRPr="00265400">
        <w:t>minenc</w:t>
      </w:r>
      <w:r w:rsidR="00B22A09">
        <w:t>e d’une grève générale, martèle</w:t>
      </w:r>
      <w:r w:rsidRPr="00265400">
        <w:t xml:space="preserve"> en janvier 1983 l’importance de préserver les services à la population. Au même mom</w:t>
      </w:r>
      <w:r w:rsidR="00A1562D">
        <w:t>ent, il tente de convaincre le F</w:t>
      </w:r>
      <w:r w:rsidRPr="00265400">
        <w:t xml:space="preserve">ront commun syndical d’accepter les nouvelles conditions de travail décrétées en y apportant des modifications. </w:t>
      </w:r>
    </w:p>
    <w:p w:rsidR="00732C10" w:rsidRPr="00265400" w:rsidRDefault="00732C10" w:rsidP="00F45C82">
      <w:r w:rsidRPr="00265400">
        <w:t>Après le rejet par les membres de cette dernière offre, le gouvernement change de stratégie lors du décl</w:t>
      </w:r>
      <w:r w:rsidR="00B22A09">
        <w:t>enchement d’une grève rotative du 26 au 31 janvier 1983</w:t>
      </w:r>
      <w:r w:rsidRPr="00265400">
        <w:t xml:space="preserve">. La rencontre du Conseil </w:t>
      </w:r>
      <w:r w:rsidR="00B22A09">
        <w:t>des ministres du 26 janvier est</w:t>
      </w:r>
      <w:r w:rsidRPr="00265400">
        <w:t xml:space="preserve"> décisive. Selon le compte-rendu</w:t>
      </w:r>
      <w:r w:rsidR="00DE6FD0">
        <w:t xml:space="preserve"> </w:t>
      </w:r>
      <w:r w:rsidRPr="00265400">
        <w:t>de la rencontre, les ministres trouvent que les « revendications syndicales sont exagérées » et que les « syndicats s</w:t>
      </w:r>
      <w:r w:rsidR="00DE6FD0">
        <w:t>ont dirigés par des fanatiques </w:t>
      </w:r>
      <w:r w:rsidRPr="00265400">
        <w:t>»</w:t>
      </w:r>
      <w:r w:rsidR="00DE6FD0">
        <w:t>.</w:t>
      </w:r>
      <w:r w:rsidRPr="00265400">
        <w:t xml:space="preserve"> Jacques Parizeau, alors</w:t>
      </w:r>
      <w:r w:rsidR="00DE6FD0">
        <w:t xml:space="preserve"> ministre de l’Économie, </w:t>
      </w:r>
      <w:r w:rsidR="00550230">
        <w:t>affirme même</w:t>
      </w:r>
      <w:r w:rsidR="00DE6FD0">
        <w:t> : « C</w:t>
      </w:r>
      <w:r w:rsidRPr="00265400">
        <w:t>ette grève constitue un précédent au Québec en ce qu’elle est à la fois générale, illimitée et illégale. Une loi spéciale de retour au travail ne doit pas rater son effet. En cas d’échec, il ne restera pas de solution de rechange autre qu’une élection générale. La l</w:t>
      </w:r>
      <w:r w:rsidR="00A1562D">
        <w:t>oi doit donc être assez sévère.</w:t>
      </w:r>
      <w:r w:rsidR="00DE6FD0" w:rsidRPr="00265400">
        <w:rPr>
          <w:vertAlign w:val="superscript"/>
        </w:rPr>
        <w:footnoteReference w:id="2"/>
      </w:r>
      <w:r w:rsidR="00DE6FD0">
        <w:t>» S</w:t>
      </w:r>
      <w:r w:rsidRPr="00265400">
        <w:t xml:space="preserve">évère, </w:t>
      </w:r>
      <w:r w:rsidR="00DE6FD0">
        <w:t xml:space="preserve">c’est précisément ce qu’est </w:t>
      </w:r>
      <w:r w:rsidRPr="00265400">
        <w:t>la</w:t>
      </w:r>
      <w:r w:rsidR="00DE6FD0">
        <w:t xml:space="preserve"> loi 111 qui est annoncée par la suite, </w:t>
      </w:r>
      <w:r w:rsidR="00550230">
        <w:t>ou</w:t>
      </w:r>
      <w:r w:rsidRPr="00265400">
        <w:t xml:space="preserve"> </w:t>
      </w:r>
      <w:r w:rsidRPr="0035762A">
        <w:rPr>
          <w:i/>
        </w:rPr>
        <w:t>Loi assurant la reprise des services dans les collèges et les écoles du secteur public</w:t>
      </w:r>
      <w:r w:rsidRPr="00265400">
        <w:t xml:space="preserve">. </w:t>
      </w:r>
    </w:p>
    <w:p w:rsidR="00732C10" w:rsidRPr="00265400" w:rsidRDefault="00DE6FD0" w:rsidP="00F45C82">
      <w:r>
        <w:t>Cette</w:t>
      </w:r>
      <w:r w:rsidR="00732C10" w:rsidRPr="00265400">
        <w:t xml:space="preserve"> loi 111 de 1983 reprend l’essentiel des dispositions des lois ant</w:t>
      </w:r>
      <w:r>
        <w:t>érieures. À celles-ci se greffent</w:t>
      </w:r>
      <w:r w:rsidR="00732C10" w:rsidRPr="00265400">
        <w:t xml:space="preserve"> des éléments </w:t>
      </w:r>
      <w:r>
        <w:t>qui attaquent</w:t>
      </w:r>
      <w:r w:rsidR="00732C10" w:rsidRPr="00265400">
        <w:t xml:space="preserve"> la base de tout mouvement syndical et social</w:t>
      </w:r>
      <w:r>
        <w:t> : la solidarité. Pour y parvenir,</w:t>
      </w:r>
      <w:r w:rsidR="00732C10" w:rsidRPr="00265400">
        <w:t xml:space="preserve"> plusieurs dispositions visent directement les individus : </w:t>
      </w:r>
      <w:r>
        <w:t>la perte de 3 ans</w:t>
      </w:r>
      <w:r w:rsidR="00732C10" w:rsidRPr="00265400">
        <w:t xml:space="preserve"> d’ancienneté par jour de grève</w:t>
      </w:r>
      <w:r>
        <w:t xml:space="preserve"> illégale</w:t>
      </w:r>
      <w:r w:rsidR="00732C10" w:rsidRPr="00265400">
        <w:t xml:space="preserve">, </w:t>
      </w:r>
      <w:r>
        <w:t xml:space="preserve">la </w:t>
      </w:r>
      <w:r w:rsidR="00732C10" w:rsidRPr="00265400">
        <w:t xml:space="preserve">possibilité de modifier par décret la procédure de congédiement, </w:t>
      </w:r>
      <w:r>
        <w:t xml:space="preserve">la </w:t>
      </w:r>
      <w:r w:rsidR="00732C10" w:rsidRPr="00265400">
        <w:t xml:space="preserve">présomption de culpabilité, </w:t>
      </w:r>
      <w:r>
        <w:t xml:space="preserve">des </w:t>
      </w:r>
      <w:r w:rsidR="00732C10" w:rsidRPr="00265400">
        <w:t>amendes sévères et</w:t>
      </w:r>
      <w:r>
        <w:t xml:space="preserve"> la</w:t>
      </w:r>
      <w:r w:rsidR="00732C10" w:rsidRPr="00265400">
        <w:t xml:space="preserve"> suspension de la </w:t>
      </w:r>
      <w:r w:rsidR="00732C10" w:rsidRPr="00DE6FD0">
        <w:rPr>
          <w:i/>
        </w:rPr>
        <w:t>Charte des droits et libertés de la personne</w:t>
      </w:r>
      <w:r w:rsidR="00732C10" w:rsidRPr="00265400">
        <w:t>.</w:t>
      </w:r>
    </w:p>
    <w:p w:rsidR="00732C10" w:rsidRPr="00265400" w:rsidRDefault="00732C10" w:rsidP="00F45C82">
      <w:r w:rsidRPr="00265400">
        <w:t xml:space="preserve">Les lois spéciales qui suivront dans les années 80 et les décennies suivantes reprendront toujours l’essentiel des nouvelles dispositions introduites par la loi 111. </w:t>
      </w:r>
    </w:p>
    <w:p w:rsidR="00732C10" w:rsidRPr="00414EFF" w:rsidRDefault="00732C10" w:rsidP="00414EFF">
      <w:pPr>
        <w:pStyle w:val="Titre2"/>
      </w:pPr>
      <w:bookmarkStart w:id="7" w:name="_Toc433705703"/>
      <w:r w:rsidRPr="00414EFF">
        <w:t>Recension des lois spéciales dans le</w:t>
      </w:r>
      <w:r w:rsidR="00550230" w:rsidRPr="00414EFF">
        <w:t>s</w:t>
      </w:r>
      <w:r w:rsidRPr="00414EFF">
        <w:t xml:space="preserve"> secteur</w:t>
      </w:r>
      <w:r w:rsidR="00550230" w:rsidRPr="00414EFF">
        <w:t>s</w:t>
      </w:r>
      <w:r w:rsidRPr="00414EFF">
        <w:t xml:space="preserve"> public et parapublic</w:t>
      </w:r>
      <w:r w:rsidRPr="00414EFF">
        <w:rPr>
          <w:vertAlign w:val="superscript"/>
        </w:rPr>
        <w:footnoteReference w:id="3"/>
      </w:r>
      <w:bookmarkEnd w:id="7"/>
    </w:p>
    <w:p w:rsidR="00732C10" w:rsidRPr="00414EFF" w:rsidRDefault="00732C10" w:rsidP="00414EFF">
      <w:pPr>
        <w:pStyle w:val="Titre3"/>
      </w:pPr>
      <w:bookmarkStart w:id="8" w:name="_Toc433705704"/>
      <w:r w:rsidRPr="00414EFF">
        <w:t>Loi 25 de 1967</w:t>
      </w:r>
      <w:bookmarkEnd w:id="8"/>
    </w:p>
    <w:p w:rsidR="00732C10" w:rsidRPr="00F66603" w:rsidRDefault="00732C10" w:rsidP="00F45C82">
      <w:pPr>
        <w:rPr>
          <w:i/>
        </w:rPr>
      </w:pPr>
      <w:r w:rsidRPr="00F66603">
        <w:rPr>
          <w:i/>
        </w:rPr>
        <w:t>Loi assurant le droit de l’enfant à l’éducation et instituant un nouveau régime de convention coll</w:t>
      </w:r>
      <w:r w:rsidR="0025527A">
        <w:rPr>
          <w:i/>
        </w:rPr>
        <w:t>ective dans le secteur scolaire</w:t>
      </w:r>
    </w:p>
    <w:p w:rsidR="00732C10" w:rsidRPr="00F66603" w:rsidRDefault="00732C10" w:rsidP="00FA521F">
      <w:pPr>
        <w:pStyle w:val="Titre4"/>
      </w:pPr>
      <w:r w:rsidRPr="00F66603">
        <w:t>Contexte</w:t>
      </w:r>
    </w:p>
    <w:p w:rsidR="00732C10" w:rsidRPr="00265400" w:rsidRDefault="00732C10" w:rsidP="00F45C82">
      <w:r w:rsidRPr="00265400">
        <w:t>Grève variant de 6 à 26 jours selon les établissements scolaires</w:t>
      </w:r>
      <w:r w:rsidR="00DE6FD0">
        <w:t>.</w:t>
      </w:r>
    </w:p>
    <w:p w:rsidR="00732C10" w:rsidRPr="00F66603" w:rsidRDefault="00732C10" w:rsidP="00FA521F">
      <w:pPr>
        <w:pStyle w:val="Titre4"/>
      </w:pPr>
      <w:r w:rsidRPr="00F66603">
        <w:t>Particularités</w:t>
      </w:r>
    </w:p>
    <w:p w:rsidR="00732C10" w:rsidRPr="00265400" w:rsidRDefault="0035762A" w:rsidP="00F45C82">
      <w:r w:rsidRPr="00265400">
        <w:t>Suspension du droit de grève</w:t>
      </w:r>
      <w:r>
        <w:t xml:space="preserve">. </w:t>
      </w:r>
      <w:r w:rsidR="00732C10" w:rsidRPr="00265400">
        <w:t>Centralisation des négociations futures</w:t>
      </w:r>
      <w:r w:rsidR="00DE6FD0">
        <w:t>.</w:t>
      </w:r>
    </w:p>
    <w:p w:rsidR="00732C10" w:rsidRPr="00265400" w:rsidRDefault="00732C10" w:rsidP="00414EFF">
      <w:pPr>
        <w:pStyle w:val="Titre3"/>
      </w:pPr>
      <w:bookmarkStart w:id="9" w:name="_Toc433705705"/>
      <w:r w:rsidRPr="00265400">
        <w:t>Loi 19 de 1972</w:t>
      </w:r>
      <w:bookmarkEnd w:id="9"/>
    </w:p>
    <w:p w:rsidR="00732C10" w:rsidRPr="00F66603" w:rsidRDefault="00732C10" w:rsidP="00F45C82">
      <w:pPr>
        <w:rPr>
          <w:i/>
        </w:rPr>
      </w:pPr>
      <w:r w:rsidRPr="00F66603">
        <w:rPr>
          <w:i/>
        </w:rPr>
        <w:t xml:space="preserve">Loi assurant la reprise des </w:t>
      </w:r>
      <w:r w:rsidR="0025527A">
        <w:rPr>
          <w:i/>
        </w:rPr>
        <w:t>services dans le secteur public</w:t>
      </w:r>
    </w:p>
    <w:p w:rsidR="00732C10" w:rsidRPr="00F66603" w:rsidRDefault="0035762A" w:rsidP="00FA521F">
      <w:pPr>
        <w:pStyle w:val="Titre4"/>
      </w:pPr>
      <w:r w:rsidRPr="00F66603">
        <w:t>Contexte</w:t>
      </w:r>
    </w:p>
    <w:p w:rsidR="00732C10" w:rsidRPr="00265400" w:rsidRDefault="00732C10" w:rsidP="00F45C82">
      <w:r w:rsidRPr="00265400">
        <w:t>Grève en Front commun de 11 jours pour environ 210 000 salariés. Certains grévistes (hôpi</w:t>
      </w:r>
      <w:r w:rsidR="00DE6FD0">
        <w:t>taux et Hydro-Québec) défient</w:t>
      </w:r>
      <w:r w:rsidRPr="00265400">
        <w:t xml:space="preserve"> une injonction ordonnant </w:t>
      </w:r>
      <w:r w:rsidR="00550230">
        <w:t>le</w:t>
      </w:r>
      <w:r w:rsidR="00DE6FD0">
        <w:t xml:space="preserve"> retour au travail. Cette grève mène</w:t>
      </w:r>
      <w:r w:rsidRPr="00265400">
        <w:t xml:space="preserve"> à l’emprisonnement des présidents de la CSN, la FTQ et la CEQ.</w:t>
      </w:r>
    </w:p>
    <w:p w:rsidR="0035762A" w:rsidRPr="00F66603" w:rsidRDefault="0035762A" w:rsidP="00FA521F">
      <w:pPr>
        <w:pStyle w:val="Titre4"/>
      </w:pPr>
      <w:r w:rsidRPr="00F66603">
        <w:t>Particularité</w:t>
      </w:r>
    </w:p>
    <w:p w:rsidR="00732C10" w:rsidRPr="00265400" w:rsidRDefault="00732C10" w:rsidP="00F45C82">
      <w:r w:rsidRPr="00265400">
        <w:t>Suspension du droit de grève</w:t>
      </w:r>
      <w:r w:rsidR="0025527A">
        <w:t>.</w:t>
      </w:r>
    </w:p>
    <w:p w:rsidR="00732C10" w:rsidRPr="00265400" w:rsidRDefault="00732C10" w:rsidP="00414EFF">
      <w:pPr>
        <w:pStyle w:val="Titre3"/>
      </w:pPr>
      <w:bookmarkStart w:id="10" w:name="_Toc433705706"/>
      <w:r w:rsidRPr="00265400">
        <w:t>Loi 61 de 1976</w:t>
      </w:r>
      <w:bookmarkEnd w:id="10"/>
    </w:p>
    <w:p w:rsidR="00732C10" w:rsidRPr="00F66603" w:rsidRDefault="00732C10" w:rsidP="00F45C82">
      <w:pPr>
        <w:rPr>
          <w:i/>
        </w:rPr>
      </w:pPr>
      <w:r w:rsidRPr="00F66603">
        <w:rPr>
          <w:i/>
        </w:rPr>
        <w:t>Loi concernant les services de san</w:t>
      </w:r>
      <w:r w:rsidR="0025527A">
        <w:rPr>
          <w:i/>
        </w:rPr>
        <w:t>té dans certains établissements</w:t>
      </w:r>
    </w:p>
    <w:p w:rsidR="00732C10" w:rsidRPr="00F66603" w:rsidRDefault="0035762A" w:rsidP="00FA521F">
      <w:pPr>
        <w:pStyle w:val="Titre4"/>
      </w:pPr>
      <w:r w:rsidRPr="00F66603">
        <w:t>Contexte</w:t>
      </w:r>
    </w:p>
    <w:p w:rsidR="00732C10" w:rsidRPr="00265400" w:rsidRDefault="00732C10" w:rsidP="00F45C82">
      <w:r w:rsidRPr="00265400">
        <w:t>Grève tournante des infirmières et des infirmiers d’une durée de 37 jour</w:t>
      </w:r>
      <w:r w:rsidR="0025527A">
        <w:t>s dans plus d’une trentaine d’hôpitaux. Certains grévistes défient</w:t>
      </w:r>
      <w:r w:rsidRPr="00265400">
        <w:t xml:space="preserve"> une injonction leur ordonnant d’assurer certains services essentiels.</w:t>
      </w:r>
    </w:p>
    <w:p w:rsidR="00732C10" w:rsidRPr="00F66603" w:rsidRDefault="0035762A" w:rsidP="00FA521F">
      <w:pPr>
        <w:pStyle w:val="Titre4"/>
      </w:pPr>
      <w:r w:rsidRPr="00F66603">
        <w:t>Particularités</w:t>
      </w:r>
    </w:p>
    <w:p w:rsidR="00732C10" w:rsidRPr="00265400" w:rsidRDefault="00732C10" w:rsidP="00F45C82">
      <w:r w:rsidRPr="00265400">
        <w:t>Présomption de culpabilité pour les salarié</w:t>
      </w:r>
      <w:r w:rsidR="00DA357D">
        <w:t>-e</w:t>
      </w:r>
      <w:r w:rsidRPr="00265400">
        <w:t>s qui ne retourne</w:t>
      </w:r>
      <w:r w:rsidR="003D161D">
        <w:t>nt</w:t>
      </w:r>
      <w:r w:rsidRPr="00265400">
        <w:t xml:space="preserve"> pas au travail. Permet la cessation du précompte syndical. Les </w:t>
      </w:r>
      <w:r w:rsidR="003D161D">
        <w:t xml:space="preserve">représentantes et les </w:t>
      </w:r>
      <w:r w:rsidRPr="00265400">
        <w:t xml:space="preserve">représentants syndicaux qui ne respectent </w:t>
      </w:r>
      <w:r w:rsidR="003D161D">
        <w:t xml:space="preserve">pas </w:t>
      </w:r>
      <w:r w:rsidRPr="00265400">
        <w:t>la loi peuvent s</w:t>
      </w:r>
      <w:r w:rsidR="003D161D">
        <w:t>e voir interdire l’accès</w:t>
      </w:r>
      <w:r w:rsidRPr="00265400">
        <w:t xml:space="preserve"> à une fonction syndicale pour une durée de 2 ans. Finalement, le paiement rétroactif des salaires peut être diminué de 10</w:t>
      </w:r>
      <w:r w:rsidR="003D161D">
        <w:t> </w:t>
      </w:r>
      <w:r w:rsidRPr="00265400">
        <w:t>% par jour d’absence.</w:t>
      </w:r>
    </w:p>
    <w:p w:rsidR="00732C10" w:rsidRPr="00265400" w:rsidRDefault="00732C10" w:rsidP="00414EFF">
      <w:pPr>
        <w:pStyle w:val="Titre3"/>
      </w:pPr>
      <w:bookmarkStart w:id="11" w:name="_Toc433705707"/>
      <w:r w:rsidRPr="00265400">
        <w:t>Loi 23 de 1976</w:t>
      </w:r>
      <w:bookmarkEnd w:id="11"/>
    </w:p>
    <w:p w:rsidR="00732C10" w:rsidRPr="00F66603" w:rsidRDefault="00732C10" w:rsidP="00F45C82">
      <w:pPr>
        <w:rPr>
          <w:i/>
        </w:rPr>
      </w:pPr>
      <w:r w:rsidRPr="00F66603">
        <w:rPr>
          <w:i/>
        </w:rPr>
        <w:t>Loi concernant le maintien des services dans le domaine de l’éducation et abrogeant une disposition légi</w:t>
      </w:r>
      <w:r w:rsidR="003D161D">
        <w:rPr>
          <w:i/>
        </w:rPr>
        <w:t>slative</w:t>
      </w:r>
    </w:p>
    <w:p w:rsidR="00732C10" w:rsidRPr="00F66603" w:rsidRDefault="0035762A" w:rsidP="00FA521F">
      <w:pPr>
        <w:pStyle w:val="Titre4"/>
      </w:pPr>
      <w:r w:rsidRPr="00F66603">
        <w:t>Contexte</w:t>
      </w:r>
    </w:p>
    <w:p w:rsidR="00732C10" w:rsidRPr="00265400" w:rsidRDefault="00732C10" w:rsidP="00F45C82">
      <w:r w:rsidRPr="00265400">
        <w:t>Grève tournante de 8 jours dans les collèges et les commissions s</w:t>
      </w:r>
      <w:r w:rsidR="00081263">
        <w:t>colaires. Certains syndicats défient</w:t>
      </w:r>
      <w:r w:rsidRPr="00265400">
        <w:t xml:space="preserve"> la loi</w:t>
      </w:r>
      <w:r w:rsidR="00081263">
        <w:t xml:space="preserve"> pendant deux jours, ce qui mène</w:t>
      </w:r>
      <w:r w:rsidRPr="00265400">
        <w:t xml:space="preserve"> à des poursuites totalisant 50 millions de dollars.</w:t>
      </w:r>
    </w:p>
    <w:p w:rsidR="00732C10" w:rsidRPr="00F66603" w:rsidRDefault="0035762A" w:rsidP="00FA521F">
      <w:pPr>
        <w:pStyle w:val="Titre4"/>
      </w:pPr>
      <w:r w:rsidRPr="00F66603">
        <w:t>Particularités</w:t>
      </w:r>
    </w:p>
    <w:p w:rsidR="00732C10" w:rsidRPr="00265400" w:rsidRDefault="00732C10" w:rsidP="00F45C82">
      <w:r w:rsidRPr="00265400">
        <w:t>Suspension du droit de grève. Présomption de culpabilité pour les salarié</w:t>
      </w:r>
      <w:r w:rsidR="00DA357D">
        <w:t>-e</w:t>
      </w:r>
      <w:r w:rsidRPr="00265400">
        <w:t>s qui ne retourne</w:t>
      </w:r>
      <w:r w:rsidR="00081263">
        <w:t>nt</w:t>
      </w:r>
      <w:r w:rsidRPr="00265400">
        <w:t xml:space="preserve"> pas au travail. Permet la cessation du précompte syndical.</w:t>
      </w:r>
    </w:p>
    <w:p w:rsidR="00732C10" w:rsidRPr="00265400" w:rsidRDefault="00732C10" w:rsidP="00414EFF">
      <w:pPr>
        <w:pStyle w:val="Titre3"/>
      </w:pPr>
      <w:bookmarkStart w:id="12" w:name="_Toc433705708"/>
      <w:r w:rsidRPr="00265400">
        <w:t>Loi 62 de 1979</w:t>
      </w:r>
      <w:bookmarkEnd w:id="12"/>
    </w:p>
    <w:p w:rsidR="00732C10" w:rsidRPr="00F66603" w:rsidRDefault="00732C10" w:rsidP="00F45C82">
      <w:pPr>
        <w:rPr>
          <w:i/>
        </w:rPr>
      </w:pPr>
      <w:r w:rsidRPr="00F66603">
        <w:rPr>
          <w:i/>
        </w:rPr>
        <w:t>Loi sur les propositions aux salariés des secteurs de l’éducation, des affaires sociales et de la fonction publique</w:t>
      </w:r>
    </w:p>
    <w:p w:rsidR="00732C10" w:rsidRPr="00F66603" w:rsidRDefault="0035762A" w:rsidP="00FA521F">
      <w:pPr>
        <w:pStyle w:val="Titre4"/>
      </w:pPr>
      <w:r w:rsidRPr="00F66603">
        <w:t>Contexte</w:t>
      </w:r>
    </w:p>
    <w:p w:rsidR="00732C10" w:rsidRPr="00265400" w:rsidRDefault="00732C10" w:rsidP="00F45C82">
      <w:r w:rsidRPr="00265400">
        <w:t>Grève d’une journée déclen</w:t>
      </w:r>
      <w:r w:rsidR="00DA357D">
        <w:t>chée par certains syndicats du F</w:t>
      </w:r>
      <w:r w:rsidR="00081263">
        <w:t>ront commun. Certains défie</w:t>
      </w:r>
      <w:r w:rsidRPr="00265400">
        <w:t>nt la loi pour un maximum de deux jours.</w:t>
      </w:r>
    </w:p>
    <w:p w:rsidR="00732C10" w:rsidRPr="00F66603" w:rsidRDefault="0035762A" w:rsidP="00FA521F">
      <w:pPr>
        <w:pStyle w:val="Titre4"/>
      </w:pPr>
      <w:r w:rsidRPr="00F66603">
        <w:t>Particularités</w:t>
      </w:r>
    </w:p>
    <w:p w:rsidR="00732C10" w:rsidRPr="00265400" w:rsidRDefault="00732C10" w:rsidP="00F45C82">
      <w:r w:rsidRPr="00265400">
        <w:t>Suspension du droit de grève. Les syndicats ont l’obligation de présenter les propositions gouverneme</w:t>
      </w:r>
      <w:r w:rsidR="00081263">
        <w:t>ntales à leurs membres et de</w:t>
      </w:r>
      <w:r w:rsidRPr="00265400">
        <w:t xml:space="preserve"> procéder à un vote secret. </w:t>
      </w:r>
    </w:p>
    <w:p w:rsidR="00732C10" w:rsidRPr="00265400" w:rsidRDefault="00732C10" w:rsidP="00414EFF">
      <w:pPr>
        <w:pStyle w:val="Titre3"/>
      </w:pPr>
      <w:bookmarkStart w:id="13" w:name="_Toc433705709"/>
      <w:r w:rsidRPr="00265400">
        <w:t>Loi 113 de 1980</w:t>
      </w:r>
      <w:bookmarkEnd w:id="13"/>
    </w:p>
    <w:p w:rsidR="00732C10" w:rsidRPr="00F66603" w:rsidRDefault="00732C10" w:rsidP="00F45C82">
      <w:pPr>
        <w:rPr>
          <w:i/>
        </w:rPr>
      </w:pPr>
      <w:r w:rsidRPr="00F66603">
        <w:rPr>
          <w:i/>
        </w:rPr>
        <w:t>Loi sur certains différends entre des enseignan</w:t>
      </w:r>
      <w:r w:rsidR="00081263">
        <w:rPr>
          <w:i/>
        </w:rPr>
        <w:t>ts et des commissions scolaires</w:t>
      </w:r>
    </w:p>
    <w:p w:rsidR="00732C10" w:rsidRPr="00F66603" w:rsidRDefault="0035762A" w:rsidP="00FA521F">
      <w:pPr>
        <w:pStyle w:val="Titre4"/>
      </w:pPr>
      <w:r w:rsidRPr="00F66603">
        <w:t>Contexte</w:t>
      </w:r>
    </w:p>
    <w:p w:rsidR="00732C10" w:rsidRPr="00265400" w:rsidRDefault="00081263" w:rsidP="00F45C82">
      <w:r>
        <w:t>Entre 34 et 55 jours de grève</w:t>
      </w:r>
      <w:r w:rsidR="00732C10" w:rsidRPr="00265400">
        <w:t xml:space="preserve"> au sein de huit commissions scolaires.</w:t>
      </w:r>
    </w:p>
    <w:p w:rsidR="00732C10" w:rsidRPr="00F66603" w:rsidRDefault="0035762A" w:rsidP="00FA521F">
      <w:pPr>
        <w:pStyle w:val="Titre4"/>
      </w:pPr>
      <w:r w:rsidRPr="00F66603">
        <w:t>Particularités</w:t>
      </w:r>
    </w:p>
    <w:p w:rsidR="00732C10" w:rsidRPr="00265400" w:rsidRDefault="00732C10" w:rsidP="00F45C82">
      <w:pPr>
        <w:rPr>
          <w:b/>
        </w:rPr>
      </w:pPr>
      <w:r w:rsidRPr="00265400">
        <w:t>Suspension du droit de grève</w:t>
      </w:r>
      <w:r w:rsidR="0035762A">
        <w:t>.</w:t>
      </w:r>
      <w:r w:rsidRPr="00265400">
        <w:t xml:space="preserve"> </w:t>
      </w:r>
      <w:r w:rsidR="0035762A">
        <w:t>P</w:t>
      </w:r>
      <w:r w:rsidRPr="00265400">
        <w:t>ossibilité de mettre fin au précompte syndical.</w:t>
      </w:r>
    </w:p>
    <w:p w:rsidR="00732C10" w:rsidRPr="00265400" w:rsidRDefault="00732C10" w:rsidP="00414EFF">
      <w:pPr>
        <w:pStyle w:val="Titre3"/>
      </w:pPr>
      <w:bookmarkStart w:id="14" w:name="_Toc433705710"/>
      <w:r w:rsidRPr="00265400">
        <w:t>Loi 111 de 1983</w:t>
      </w:r>
      <w:bookmarkEnd w:id="14"/>
    </w:p>
    <w:p w:rsidR="00732C10" w:rsidRPr="00F66603" w:rsidRDefault="00732C10" w:rsidP="00F45C82">
      <w:pPr>
        <w:rPr>
          <w:i/>
        </w:rPr>
      </w:pPr>
      <w:r w:rsidRPr="00F66603">
        <w:rPr>
          <w:i/>
        </w:rPr>
        <w:t xml:space="preserve">Loi assurant la reprise des services dans les collèges </w:t>
      </w:r>
      <w:r w:rsidR="00081263">
        <w:rPr>
          <w:i/>
        </w:rPr>
        <w:t>et les écoles du secteur public</w:t>
      </w:r>
    </w:p>
    <w:p w:rsidR="00732C10" w:rsidRPr="00F66603" w:rsidRDefault="0035762A" w:rsidP="00FA521F">
      <w:pPr>
        <w:pStyle w:val="Titre4"/>
      </w:pPr>
      <w:r w:rsidRPr="00F66603">
        <w:t>Contexte</w:t>
      </w:r>
    </w:p>
    <w:p w:rsidR="00732C10" w:rsidRPr="00265400" w:rsidRDefault="00732C10" w:rsidP="00F45C82">
      <w:r w:rsidRPr="00265400">
        <w:t>Un an avant l’échéance des conventions collectives, le gouvernement fixe par décre</w:t>
      </w:r>
      <w:r w:rsidR="00081263">
        <w:t xml:space="preserve">t les conventions collectives par les </w:t>
      </w:r>
      <w:r w:rsidRPr="00265400">
        <w:t>loi</w:t>
      </w:r>
      <w:r w:rsidR="00081263">
        <w:t>s 68, 70 et 105. Grève illégale de 23 jours dans les</w:t>
      </w:r>
      <w:r w:rsidRPr="00265400">
        <w:t xml:space="preserve"> secteurs primaire et secondaire et de 24 jours dans le réseau collégial. La </w:t>
      </w:r>
      <w:r w:rsidR="00081263">
        <w:t xml:space="preserve">quasi-totalité des syndicats défie </w:t>
      </w:r>
      <w:r w:rsidRPr="00265400">
        <w:t>la loi pendant deux jours.</w:t>
      </w:r>
    </w:p>
    <w:p w:rsidR="00732C10" w:rsidRPr="00F66603" w:rsidRDefault="0035762A" w:rsidP="00FA521F">
      <w:pPr>
        <w:pStyle w:val="Titre4"/>
      </w:pPr>
      <w:r w:rsidRPr="00F66603">
        <w:t>Particularités</w:t>
      </w:r>
    </w:p>
    <w:p w:rsidR="00732C10" w:rsidRPr="00265400" w:rsidRDefault="00732C10" w:rsidP="00F45C82">
      <w:r w:rsidRPr="00265400">
        <w:t>Perte de trois ans d’ancienneté par jour de grève. Possibilité de congédier les enseignantes et les enseignants qui refusent de retourner au travail. Double pénalité salariale pour chaque jour de grève. Interdiction de manifest</w:t>
      </w:r>
      <w:r w:rsidR="00081263">
        <w:t>er sur les lieux de travail. Cessation du</w:t>
      </w:r>
      <w:r w:rsidRPr="00265400">
        <w:t xml:space="preserve"> précompte syndical pour une période de 6 mois pour chaque jour d’infraction. Présomption de culpabilité. Suspension de la </w:t>
      </w:r>
      <w:r w:rsidRPr="00081263">
        <w:rPr>
          <w:i/>
        </w:rPr>
        <w:t>Charte des droits et libertés</w:t>
      </w:r>
      <w:r w:rsidR="00081263">
        <w:t>. La loi 111 est</w:t>
      </w:r>
      <w:r w:rsidRPr="00265400">
        <w:t xml:space="preserve"> dénoncée par l’Organisation internationale du travail.</w:t>
      </w:r>
    </w:p>
    <w:p w:rsidR="00732C10" w:rsidRPr="00265400" w:rsidRDefault="00732C10" w:rsidP="00414EFF">
      <w:pPr>
        <w:pStyle w:val="Titre3"/>
      </w:pPr>
      <w:bookmarkStart w:id="15" w:name="_Toc433705711"/>
      <w:r w:rsidRPr="00265400">
        <w:t>Loi 160 de 1986</w:t>
      </w:r>
      <w:bookmarkEnd w:id="15"/>
    </w:p>
    <w:p w:rsidR="00732C10" w:rsidRPr="00F66603" w:rsidRDefault="00732C10" w:rsidP="00F45C82">
      <w:pPr>
        <w:rPr>
          <w:i/>
        </w:rPr>
      </w:pPr>
      <w:r w:rsidRPr="00F66603">
        <w:rPr>
          <w:i/>
        </w:rPr>
        <w:t>Loi assurant le maintien des services essentiels dans le secteur de l</w:t>
      </w:r>
      <w:r w:rsidR="00081263">
        <w:rPr>
          <w:i/>
        </w:rPr>
        <w:t>a santé et des services sociaux</w:t>
      </w:r>
    </w:p>
    <w:p w:rsidR="00732C10" w:rsidRPr="00F45C82" w:rsidRDefault="0035762A" w:rsidP="00FA521F">
      <w:pPr>
        <w:pStyle w:val="Titre4"/>
      </w:pPr>
      <w:r w:rsidRPr="00F45C82">
        <w:t>Contexte</w:t>
      </w:r>
    </w:p>
    <w:p w:rsidR="00732C10" w:rsidRPr="00265400" w:rsidRDefault="00732C10" w:rsidP="00F45C82">
      <w:r w:rsidRPr="00265400">
        <w:t xml:space="preserve">Deux jours de grève illégale dans les établissements de </w:t>
      </w:r>
      <w:r w:rsidR="00081263">
        <w:t xml:space="preserve">la </w:t>
      </w:r>
      <w:r w:rsidRPr="00265400">
        <w:t xml:space="preserve">santé et des services sociaux. </w:t>
      </w:r>
    </w:p>
    <w:p w:rsidR="00732C10" w:rsidRPr="00F45C82" w:rsidRDefault="0035762A" w:rsidP="00FA521F">
      <w:pPr>
        <w:pStyle w:val="Titre4"/>
      </w:pPr>
      <w:r w:rsidRPr="00F45C82">
        <w:t>Particularités</w:t>
      </w:r>
    </w:p>
    <w:p w:rsidR="00732C10" w:rsidRPr="00265400" w:rsidRDefault="00732C10" w:rsidP="00F45C82">
      <w:r w:rsidRPr="00265400">
        <w:t>Pour assurer le maintien des services essentiels, la lo</w:t>
      </w:r>
      <w:r w:rsidR="00081263">
        <w:t>i rend possible la modification par décret des conditions d’embauche et d</w:t>
      </w:r>
      <w:r w:rsidRPr="00265400">
        <w:t>es dispositions relatives à l’organisation du travail. Possibilité de mettre fin au précompte syndical. Perte d’un an d’ancienneté pour chaque jour de grève illégale. Responsabilité civile des syndicats dans le cas où des préjudices seraient causés par le non-respect de la loi.</w:t>
      </w:r>
    </w:p>
    <w:p w:rsidR="00732C10" w:rsidRPr="00265400" w:rsidRDefault="00732C10" w:rsidP="00414EFF">
      <w:pPr>
        <w:pStyle w:val="Titre3"/>
      </w:pPr>
      <w:bookmarkStart w:id="16" w:name="_Toc433705712"/>
      <w:r w:rsidRPr="00265400">
        <w:t>Loi 72 de 1999</w:t>
      </w:r>
      <w:bookmarkEnd w:id="16"/>
    </w:p>
    <w:p w:rsidR="00732C10" w:rsidRPr="00F66603" w:rsidRDefault="00732C10" w:rsidP="00F45C82">
      <w:pPr>
        <w:rPr>
          <w:i/>
        </w:rPr>
      </w:pPr>
      <w:r w:rsidRPr="00F66603">
        <w:rPr>
          <w:i/>
        </w:rPr>
        <w:t>Loi concernant la prestation des services de soins infirmiers et des services pharmaceutiques.</w:t>
      </w:r>
    </w:p>
    <w:p w:rsidR="00732C10" w:rsidRPr="00F45C82" w:rsidRDefault="0035762A" w:rsidP="00FA521F">
      <w:pPr>
        <w:pStyle w:val="Titre4"/>
      </w:pPr>
      <w:r w:rsidRPr="00F45C82">
        <w:t>Contexte</w:t>
      </w:r>
    </w:p>
    <w:p w:rsidR="00732C10" w:rsidRPr="00FA521F" w:rsidRDefault="00732C10" w:rsidP="00FA521F">
      <w:r w:rsidRPr="00265400">
        <w:t>Grève illégale de 23 jours de</w:t>
      </w:r>
      <w:r w:rsidR="00C91B7D">
        <w:t xml:space="preserve"> la Fédération des</w:t>
      </w:r>
      <w:r w:rsidRPr="00265400">
        <w:t xml:space="preserve"> infirmières et des infirmiers</w:t>
      </w:r>
      <w:r w:rsidR="00C91B7D">
        <w:t xml:space="preserve"> du Québec (FIIQ). Certains syndicats</w:t>
      </w:r>
      <w:r w:rsidRPr="00265400">
        <w:t xml:space="preserve"> continu</w:t>
      </w:r>
      <w:r w:rsidR="00C91B7D">
        <w:t>ent</w:t>
      </w:r>
      <w:r w:rsidRPr="00265400">
        <w:t xml:space="preserve"> la grève jusqu’à </w:t>
      </w:r>
      <w:r w:rsidRPr="00FA521F">
        <w:t>16 jours après l’adoption de la loi.</w:t>
      </w:r>
    </w:p>
    <w:p w:rsidR="00732C10" w:rsidRPr="00F45C82" w:rsidRDefault="0035762A" w:rsidP="00FA521F">
      <w:pPr>
        <w:pStyle w:val="Titre4"/>
      </w:pPr>
      <w:r w:rsidRPr="00F45C82">
        <w:t>Particularités</w:t>
      </w:r>
    </w:p>
    <w:p w:rsidR="00732C10" w:rsidRPr="00265400" w:rsidRDefault="00732C10" w:rsidP="00F45C82">
      <w:r w:rsidRPr="00265400">
        <w:t xml:space="preserve">Obligation pour la FIIQ de recommander la fin de la grève à ses membres. Pénalité équivalente à un jour de salaire pour les </w:t>
      </w:r>
      <w:r w:rsidR="00C91B7D">
        <w:t xml:space="preserve">représentantes et les </w:t>
      </w:r>
      <w:r w:rsidRPr="00265400">
        <w:t xml:space="preserve">représentants syndicaux libérés si leur accréditation transgresse la loi. </w:t>
      </w:r>
    </w:p>
    <w:p w:rsidR="00732C10" w:rsidRPr="00265400" w:rsidRDefault="00732C10" w:rsidP="00414EFF">
      <w:pPr>
        <w:pStyle w:val="Titre3"/>
      </w:pPr>
      <w:bookmarkStart w:id="17" w:name="_Toc433705713"/>
      <w:r w:rsidRPr="00265400">
        <w:t>Loi 43 de 2005</w:t>
      </w:r>
      <w:bookmarkEnd w:id="17"/>
    </w:p>
    <w:p w:rsidR="00732C10" w:rsidRPr="00F66603" w:rsidRDefault="00732C10" w:rsidP="00F45C82">
      <w:pPr>
        <w:rPr>
          <w:i/>
        </w:rPr>
      </w:pPr>
      <w:r w:rsidRPr="00F66603">
        <w:rPr>
          <w:i/>
        </w:rPr>
        <w:t>Loi concernant les conditions de travail dans le secteur public</w:t>
      </w:r>
    </w:p>
    <w:p w:rsidR="00732C10" w:rsidRPr="00F45C82" w:rsidRDefault="0035762A" w:rsidP="00FA521F">
      <w:pPr>
        <w:pStyle w:val="Titre4"/>
      </w:pPr>
      <w:r w:rsidRPr="00F45C82">
        <w:t>Contexte</w:t>
      </w:r>
    </w:p>
    <w:p w:rsidR="00732C10" w:rsidRPr="00265400" w:rsidRDefault="00732C10" w:rsidP="00F45C82">
      <w:r w:rsidRPr="00265400">
        <w:t>Grève légale</w:t>
      </w:r>
      <w:r w:rsidR="00F802CD">
        <w:t xml:space="preserve"> d’u</w:t>
      </w:r>
      <w:r w:rsidRPr="00265400">
        <w:t>ne journée et demie au printemps 2005 et 4 jours de grève rotative (CSN et FTQ) à l’automne 2005.</w:t>
      </w:r>
    </w:p>
    <w:p w:rsidR="00732C10" w:rsidRDefault="0035762A" w:rsidP="00FA521F">
      <w:pPr>
        <w:pStyle w:val="Titre4"/>
      </w:pPr>
      <w:r w:rsidRPr="00F45C82">
        <w:t>Particularités</w:t>
      </w:r>
    </w:p>
    <w:p w:rsidR="00EF618E" w:rsidRPr="00EF618E" w:rsidRDefault="00EF618E" w:rsidP="00EF618E">
      <w:r>
        <w:t xml:space="preserve">Suspension du droit de grève. Double pénalité pour chaque jour de grève. Suspension du précompte syndical. </w:t>
      </w:r>
      <w:r w:rsidRPr="00265400">
        <w:t>Coupe des libérations syndicales pendant 12 semaines</w:t>
      </w:r>
      <w:r>
        <w:t xml:space="preserve"> pour chaque jour de grève.</w:t>
      </w:r>
    </w:p>
    <w:p w:rsidR="00732C10" w:rsidRPr="00265400" w:rsidRDefault="00C91B7D" w:rsidP="00F45C82">
      <w:r>
        <w:t>L</w:t>
      </w:r>
      <w:r w:rsidR="00732C10" w:rsidRPr="00265400">
        <w:t>e Bureau international du travail (2007) et la Commission des relations d</w:t>
      </w:r>
      <w:r>
        <w:t>u</w:t>
      </w:r>
      <w:r w:rsidR="00732C10" w:rsidRPr="00265400">
        <w:t xml:space="preserve"> travail</w:t>
      </w:r>
      <w:r>
        <w:t xml:space="preserve"> du Québec</w:t>
      </w:r>
      <w:r w:rsidR="00732C10" w:rsidRPr="00265400">
        <w:t xml:space="preserve"> (2012) ont dénoncé le caractère excessif de la loi 43.</w:t>
      </w:r>
    </w:p>
    <w:p w:rsidR="00732C10" w:rsidRPr="00265400" w:rsidRDefault="00732C10" w:rsidP="00414EFF">
      <w:pPr>
        <w:pStyle w:val="Titre3"/>
      </w:pPr>
      <w:bookmarkStart w:id="18" w:name="_Toc433705714"/>
      <w:r w:rsidRPr="00265400">
        <w:t>Loi 12 de 2012</w:t>
      </w:r>
      <w:bookmarkEnd w:id="18"/>
    </w:p>
    <w:p w:rsidR="00732C10" w:rsidRPr="00F66603" w:rsidRDefault="00732C10" w:rsidP="00F45C82">
      <w:pPr>
        <w:rPr>
          <w:i/>
        </w:rPr>
      </w:pPr>
      <w:r w:rsidRPr="00F66603">
        <w:rPr>
          <w:i/>
          <w:lang w:val="fr-FR"/>
        </w:rPr>
        <w:t>Loi permettant aux étudiants de recevoir l’enseignement dispensé par les établissements de niveau postsecondaire</w:t>
      </w:r>
    </w:p>
    <w:p w:rsidR="00732C10" w:rsidRPr="00F45C82" w:rsidRDefault="0035762A" w:rsidP="00FA521F">
      <w:pPr>
        <w:pStyle w:val="Titre4"/>
      </w:pPr>
      <w:r w:rsidRPr="00F45C82">
        <w:t>Contexte</w:t>
      </w:r>
    </w:p>
    <w:p w:rsidR="00732C10" w:rsidRPr="00265400" w:rsidRDefault="00732C10" w:rsidP="00F45C82">
      <w:r w:rsidRPr="00265400">
        <w:t>Grève de près de 4 mois de</w:t>
      </w:r>
      <w:r w:rsidR="00C91B7D">
        <w:t>s étudiantes et des étudiants des</w:t>
      </w:r>
      <w:r w:rsidRPr="00265400">
        <w:t xml:space="preserve"> réseau</w:t>
      </w:r>
      <w:r w:rsidR="00C91B7D">
        <w:t>x</w:t>
      </w:r>
      <w:r w:rsidRPr="00265400">
        <w:t xml:space="preserve"> collégial et universitaire. </w:t>
      </w:r>
    </w:p>
    <w:p w:rsidR="00732C10" w:rsidRPr="00F45C82" w:rsidRDefault="0035762A" w:rsidP="00FA521F">
      <w:pPr>
        <w:pStyle w:val="Titre4"/>
      </w:pPr>
      <w:r w:rsidRPr="00F45C82">
        <w:t>Particularités</w:t>
      </w:r>
    </w:p>
    <w:p w:rsidR="00732C10" w:rsidRPr="00265400" w:rsidRDefault="00732C10" w:rsidP="00F45C82">
      <w:r w:rsidRPr="00265400">
        <w:t>Suspension des sessions scolaires jusqu’au mois d’août 2012. Pour assurer la reprise des cours, la loi prévoit plusieurs dispositions et des amende</w:t>
      </w:r>
      <w:r w:rsidR="00C91B7D">
        <w:t>s en cas de désobéissance. De plus</w:t>
      </w:r>
      <w:r w:rsidRPr="00265400">
        <w:t xml:space="preserve">, la loi encadre toutes les manifestations de plus de 50 personnes. Possibilité pour les établissements d’enseignement de retenir les cotisations </w:t>
      </w:r>
      <w:r w:rsidR="00C91B7D">
        <w:t>prélevées par l</w:t>
      </w:r>
      <w:r w:rsidRPr="00265400">
        <w:t>es a</w:t>
      </w:r>
      <w:r w:rsidR="00C91B7D">
        <w:t>ssociations étudiantes</w:t>
      </w:r>
      <w:r w:rsidRPr="00265400">
        <w:t>.</w:t>
      </w:r>
    </w:p>
    <w:p w:rsidR="00FC3EA0" w:rsidRPr="00265400" w:rsidRDefault="00512AE7" w:rsidP="00F45C82">
      <w:pPr>
        <w:pStyle w:val="Titre1"/>
      </w:pPr>
      <w:bookmarkStart w:id="19" w:name="_Toc433705715"/>
      <w:r w:rsidRPr="00265400">
        <w:t>Historique des r</w:t>
      </w:r>
      <w:r w:rsidR="00005BE0" w:rsidRPr="00265400">
        <w:t>éactions aux lois spéciales</w:t>
      </w:r>
      <w:bookmarkEnd w:id="19"/>
    </w:p>
    <w:p w:rsidR="003F0178" w:rsidRPr="00414EFF" w:rsidRDefault="003F0178" w:rsidP="00414EFF">
      <w:pPr>
        <w:pStyle w:val="Titre2"/>
      </w:pPr>
      <w:bookmarkStart w:id="20" w:name="_Toc433705716"/>
      <w:r w:rsidRPr="00414EFF">
        <w:t>La FNEEQ face aux décrets de 1982</w:t>
      </w:r>
      <w:bookmarkEnd w:id="20"/>
    </w:p>
    <w:p w:rsidR="003F0178" w:rsidRPr="00414EFF" w:rsidRDefault="003F0178" w:rsidP="00414EFF">
      <w:pPr>
        <w:pStyle w:val="Titre3"/>
      </w:pPr>
      <w:bookmarkStart w:id="21" w:name="_Toc433705717"/>
      <w:r w:rsidRPr="00414EFF">
        <w:t>Les décrets de l’automne 1982</w:t>
      </w:r>
      <w:bookmarkEnd w:id="21"/>
    </w:p>
    <w:p w:rsidR="003F0178" w:rsidRPr="003F0178" w:rsidRDefault="00D6231E" w:rsidP="00F45C82">
      <w:r>
        <w:t>À l’automne 198</w:t>
      </w:r>
      <w:r w:rsidR="00F705E0">
        <w:t>2</w:t>
      </w:r>
      <w:r>
        <w:t>,</w:t>
      </w:r>
      <w:r w:rsidR="003F0178" w:rsidRPr="003F0178">
        <w:t xml:space="preserve"> le gouv</w:t>
      </w:r>
      <w:r>
        <w:t>ernement Lévesque fait adopter par</w:t>
      </w:r>
      <w:r w:rsidR="003F0178" w:rsidRPr="003F0178">
        <w:t xml:space="preserve"> l’Assemblée nationale trois lois ayant pour objet les conditions de travail d</w:t>
      </w:r>
      <w:r w:rsidR="00C91B7D">
        <w:t>es</w:t>
      </w:r>
      <w:r w:rsidR="00F802CD">
        <w:t xml:space="preserve"> salariées et des</w:t>
      </w:r>
      <w:r w:rsidR="00C91B7D">
        <w:t xml:space="preserve"> salariés des secteurs public et parapublic. La loi 62 modifie </w:t>
      </w:r>
      <w:r w:rsidR="003F0178" w:rsidRPr="003F0178">
        <w:t>le régime de retraite. La loi 70 pr</w:t>
      </w:r>
      <w:r w:rsidR="00C91B7D">
        <w:t>olonge</w:t>
      </w:r>
      <w:r w:rsidR="003F0178" w:rsidRPr="003F0178">
        <w:t xml:space="preserve"> les con</w:t>
      </w:r>
      <w:r w:rsidR="00C91B7D">
        <w:t>ventions collectives, suspend le droit de grève et réduit</w:t>
      </w:r>
      <w:r w:rsidR="003F0178" w:rsidRPr="003F0178">
        <w:t xml:space="preserve"> de 20</w:t>
      </w:r>
      <w:r w:rsidR="00F802CD">
        <w:t> </w:t>
      </w:r>
      <w:r w:rsidR="003F0178" w:rsidRPr="003F0178">
        <w:t>% la rémunération pour une durée de trois mois. F</w:t>
      </w:r>
      <w:r w:rsidR="00C91B7D">
        <w:t>inalement, la loi 105 décrète</w:t>
      </w:r>
      <w:r w:rsidR="003F0178" w:rsidRPr="003F0178">
        <w:t xml:space="preserve"> les conditions de travail de tous les salarié</w:t>
      </w:r>
      <w:r w:rsidR="00422657">
        <w:t>-e</w:t>
      </w:r>
      <w:r w:rsidR="003F0178" w:rsidRPr="003F0178">
        <w:t xml:space="preserve">s jusqu’en mars 1985. </w:t>
      </w:r>
    </w:p>
    <w:p w:rsidR="003F0178" w:rsidRPr="003F0178" w:rsidRDefault="003F0178" w:rsidP="00414EFF">
      <w:pPr>
        <w:pStyle w:val="Titre3"/>
      </w:pPr>
      <w:bookmarkStart w:id="22" w:name="_Toc433705718"/>
      <w:r w:rsidRPr="003F0178">
        <w:t>La réaction : grève et manifestations</w:t>
      </w:r>
      <w:bookmarkEnd w:id="22"/>
    </w:p>
    <w:p w:rsidR="003F0178" w:rsidRPr="003F0178" w:rsidRDefault="00C91B7D" w:rsidP="00F45C82">
      <w:r>
        <w:t>Ces décrets ont secoué le corps professoral : la voie législative s’attaque à tout et impose</w:t>
      </w:r>
      <w:r w:rsidR="003F0178" w:rsidRPr="003F0178">
        <w:t xml:space="preserve"> l</w:t>
      </w:r>
      <w:r>
        <w:t>es conditions de rémunération et les aspects normatifs de</w:t>
      </w:r>
      <w:r w:rsidR="003F0178" w:rsidRPr="003F0178">
        <w:t xml:space="preserve">s conventions collectives. </w:t>
      </w:r>
      <w:r>
        <w:t>Les enseignantes et les enseignants ont le</w:t>
      </w:r>
      <w:r w:rsidR="003F0178" w:rsidRPr="003F0178">
        <w:t xml:space="preserve"> sentiment </w:t>
      </w:r>
      <w:r>
        <w:t xml:space="preserve">qu’il faut </w:t>
      </w:r>
      <w:r w:rsidR="003F0178" w:rsidRPr="003F0178">
        <w:t xml:space="preserve">protéger les acquis de la Révolution tranquille </w:t>
      </w:r>
      <w:r>
        <w:t xml:space="preserve">et </w:t>
      </w:r>
      <w:r w:rsidR="003F0178" w:rsidRPr="003F0178">
        <w:t>se porter à la défen</w:t>
      </w:r>
      <w:r>
        <w:t>se du réseau des cégeps. Dans cet esprit</w:t>
      </w:r>
      <w:r w:rsidR="003F0178" w:rsidRPr="003F0178">
        <w:t>, en réponse aux geste</w:t>
      </w:r>
      <w:r>
        <w:t>s posés par le gouvernement, les syndicats adoptent un mandat</w:t>
      </w:r>
      <w:r w:rsidR="003F0178" w:rsidRPr="003F0178">
        <w:t xml:space="preserve"> de grève</w:t>
      </w:r>
      <w:r>
        <w:t xml:space="preserve"> avec un appui très fort</w:t>
      </w:r>
      <w:r w:rsidR="003F0178" w:rsidRPr="003F0178">
        <w:t xml:space="preserve"> de 85</w:t>
      </w:r>
      <w:r w:rsidR="00F802CD">
        <w:t> </w:t>
      </w:r>
      <w:r w:rsidR="003F0178" w:rsidRPr="003F0178">
        <w:t xml:space="preserve">%. Le 26 janvier 1983, la grève commence avec la participation de 38 des 41 </w:t>
      </w:r>
      <w:r w:rsidR="00D6231E">
        <w:t>syndicats affiliés à la FNEEQ; 36 de ces syndicats</w:t>
      </w:r>
      <w:r>
        <w:t xml:space="preserve"> s</w:t>
      </w:r>
      <w:r w:rsidR="003F0178" w:rsidRPr="003F0178">
        <w:t xml:space="preserve">ont toujours </w:t>
      </w:r>
      <w:r>
        <w:t xml:space="preserve">en grève </w:t>
      </w:r>
      <w:r w:rsidR="003F0178" w:rsidRPr="003F0178">
        <w:t xml:space="preserve">au moment de l’adoption de la loi 111 le 17 février. </w:t>
      </w:r>
    </w:p>
    <w:p w:rsidR="003F0178" w:rsidRPr="003F0178" w:rsidRDefault="003F0178" w:rsidP="00F45C82">
      <w:r w:rsidRPr="003F0178">
        <w:t>Avec la grève</w:t>
      </w:r>
      <w:r w:rsidR="004B094F">
        <w:t>,</w:t>
      </w:r>
      <w:r w:rsidRPr="003F0178">
        <w:t xml:space="preserve"> des manifestations d’envergure</w:t>
      </w:r>
      <w:r w:rsidR="00D6231E" w:rsidRPr="003F0178">
        <w:t xml:space="preserve"> s</w:t>
      </w:r>
      <w:r w:rsidR="00D6231E">
        <w:t>e tiennent.</w:t>
      </w:r>
      <w:r w:rsidRPr="003F0178">
        <w:t xml:space="preserve"> Le 29 ja</w:t>
      </w:r>
      <w:r w:rsidR="00C91B7D">
        <w:t>nvier, 50 000 personnes marche</w:t>
      </w:r>
      <w:r w:rsidRPr="003F0178">
        <w:t>nt dans les rues de Montréal</w:t>
      </w:r>
      <w:r w:rsidR="00D6231E">
        <w:t xml:space="preserve"> et, </w:t>
      </w:r>
      <w:r w:rsidRPr="003F0178">
        <w:t>le 9 févrie</w:t>
      </w:r>
      <w:r w:rsidR="00C91B7D">
        <w:t>r, une grande manifestation a</w:t>
      </w:r>
      <w:r w:rsidRPr="003F0178">
        <w:t xml:space="preserve"> lieu simultanément à Québec et à Montréal</w:t>
      </w:r>
    </w:p>
    <w:p w:rsidR="003F0178" w:rsidRPr="003F0178" w:rsidRDefault="003F0178" w:rsidP="00F45C82">
      <w:r w:rsidRPr="003F0178">
        <w:t xml:space="preserve">Il est important de rappeler que la </w:t>
      </w:r>
      <w:r w:rsidR="00F705E0">
        <w:t>Fédération des affaires sociales (</w:t>
      </w:r>
      <w:r w:rsidRPr="003F0178">
        <w:t>FAS</w:t>
      </w:r>
      <w:r w:rsidR="00F705E0">
        <w:t>)</w:t>
      </w:r>
      <w:r w:rsidR="007E35A4">
        <w:rPr>
          <w:rStyle w:val="Appelnotedebasdep"/>
        </w:rPr>
        <w:footnoteReference w:id="4"/>
      </w:r>
      <w:r w:rsidRPr="003F0178">
        <w:t xml:space="preserve">, le RIIQ </w:t>
      </w:r>
      <w:r w:rsidR="00414EFF">
        <w:t>(Regr</w:t>
      </w:r>
      <w:r w:rsidR="00DA357D">
        <w:t xml:space="preserve">oupement des infirmières et </w:t>
      </w:r>
      <w:r w:rsidR="00414EFF">
        <w:t xml:space="preserve">infirmiers du Québec) </w:t>
      </w:r>
      <w:r w:rsidRPr="003F0178">
        <w:t xml:space="preserve">et </w:t>
      </w:r>
      <w:r w:rsidR="00DA357D">
        <w:t>la Fédération des s</w:t>
      </w:r>
      <w:r w:rsidR="00F705E0">
        <w:t>yndicat</w:t>
      </w:r>
      <w:r w:rsidR="00DA357D">
        <w:t>s</w:t>
      </w:r>
      <w:r w:rsidR="00F705E0">
        <w:t xml:space="preserve"> professionnel</w:t>
      </w:r>
      <w:r w:rsidR="00DA357D">
        <w:t>s</w:t>
      </w:r>
      <w:r w:rsidR="00F705E0">
        <w:t xml:space="preserve"> des infirmières et infirmiers du Québec (</w:t>
      </w:r>
      <w:r w:rsidR="00DA357D">
        <w:t>F</w:t>
      </w:r>
      <w:r w:rsidR="00434A4D">
        <w:t>SPIIQ</w:t>
      </w:r>
      <w:r w:rsidR="00F705E0">
        <w:t>)</w:t>
      </w:r>
      <w:r w:rsidR="00C91B7D">
        <w:t xml:space="preserve"> sign</w:t>
      </w:r>
      <w:r w:rsidR="00434A4D">
        <w:t>ent</w:t>
      </w:r>
      <w:r w:rsidR="00C91B7D">
        <w:t xml:space="preserve"> des ententes de principe dans la foulée de</w:t>
      </w:r>
      <w:r w:rsidRPr="003F0178">
        <w:t xml:space="preserve"> la première manife</w:t>
      </w:r>
      <w:r w:rsidR="00E35E39">
        <w:t>station à Montréal. Après ces ententes</w:t>
      </w:r>
      <w:r w:rsidRPr="003F0178">
        <w:t xml:space="preserve">, il n’y a que la FNEEQ, la </w:t>
      </w:r>
      <w:r w:rsidR="00E35E39">
        <w:t>Centrale de l’enseignement du Québec (</w:t>
      </w:r>
      <w:r w:rsidRPr="003F0178">
        <w:t>CEQ</w:t>
      </w:r>
      <w:r w:rsidR="00E35E39">
        <w:t>)</w:t>
      </w:r>
      <w:r w:rsidRPr="003F0178">
        <w:t xml:space="preserve"> et le </w:t>
      </w:r>
      <w:r w:rsidR="00E35E39">
        <w:t>Syndicat de professionnelles et professionnels du gouvernement du Québec (</w:t>
      </w:r>
      <w:r w:rsidRPr="003F0178">
        <w:t>SPGQ</w:t>
      </w:r>
      <w:r w:rsidR="00E35E39">
        <w:t>)</w:t>
      </w:r>
      <w:r w:rsidRPr="003F0178">
        <w:t xml:space="preserve"> qui sont toujours en grève.</w:t>
      </w:r>
    </w:p>
    <w:p w:rsidR="003F0178" w:rsidRPr="0035762A" w:rsidRDefault="003F0178" w:rsidP="00414EFF">
      <w:pPr>
        <w:pStyle w:val="Titre3"/>
      </w:pPr>
      <w:bookmarkStart w:id="23" w:name="_Toc433705719"/>
      <w:r w:rsidRPr="0035762A">
        <w:t>La ré</w:t>
      </w:r>
      <w:r w:rsidR="0035762A" w:rsidRPr="0035762A">
        <w:t>ponse des syndicats à la loi 111</w:t>
      </w:r>
      <w:bookmarkEnd w:id="23"/>
    </w:p>
    <w:p w:rsidR="003F0178" w:rsidRPr="003F0178" w:rsidRDefault="00E35E39" w:rsidP="00F45C82">
      <w:r>
        <w:t>L</w:t>
      </w:r>
      <w:r w:rsidRPr="003F0178">
        <w:t>e 14 février</w:t>
      </w:r>
      <w:r>
        <w:t>, soit</w:t>
      </w:r>
      <w:r w:rsidRPr="003F0178">
        <w:t xml:space="preserve"> </w:t>
      </w:r>
      <w:r w:rsidR="003F0178" w:rsidRPr="003F0178">
        <w:t>deux se</w:t>
      </w:r>
      <w:r>
        <w:t>maines plus tard et après presque</w:t>
      </w:r>
      <w:r w:rsidR="003F0178" w:rsidRPr="003F0178">
        <w:t xml:space="preserve"> trois semaines de grè</w:t>
      </w:r>
      <w:r w:rsidR="00D6231E">
        <w:t>ve,</w:t>
      </w:r>
      <w:r>
        <w:t xml:space="preserve"> l’Assemblée nationale est</w:t>
      </w:r>
      <w:r w:rsidR="003F0178" w:rsidRPr="003F0178">
        <w:t xml:space="preserve"> convoquée pour le dépôt de la loi spéciale 111</w:t>
      </w:r>
      <w:r>
        <w:t>. Ce dépôt survient</w:t>
      </w:r>
      <w:r w:rsidR="003F0178" w:rsidRPr="003F0178">
        <w:t xml:space="preserve"> quelque temps après le refus par la FNEEQ des aménagements proposés par le gouvernement aux décrets de l’automne.</w:t>
      </w:r>
    </w:p>
    <w:p w:rsidR="003F0178" w:rsidRPr="003F0178" w:rsidRDefault="00E35E39" w:rsidP="00F45C82">
      <w:r>
        <w:t>Le 16 février, le comité exécutif de la CSN recommande</w:t>
      </w:r>
      <w:r w:rsidR="003F0178" w:rsidRPr="003F0178">
        <w:t xml:space="preserve"> aux délégué</w:t>
      </w:r>
      <w:r w:rsidR="00422657">
        <w:t>-e</w:t>
      </w:r>
      <w:r w:rsidR="003F0178" w:rsidRPr="003F0178">
        <w:t>s de la FNEEQ d</w:t>
      </w:r>
      <w:r w:rsidR="00D6231E">
        <w:t>e défier la loi 111. L</w:t>
      </w:r>
      <w:r w:rsidR="003F0178" w:rsidRPr="003F0178">
        <w:t xml:space="preserve">e défi à </w:t>
      </w:r>
      <w:r w:rsidR="004B094F">
        <w:t xml:space="preserve">la </w:t>
      </w:r>
      <w:r w:rsidR="003F0178" w:rsidRPr="003F0178">
        <w:t xml:space="preserve">loi spéciale </w:t>
      </w:r>
      <w:r>
        <w:t>annoncée se pose</w:t>
      </w:r>
      <w:r w:rsidR="003F0178" w:rsidRPr="003F0178">
        <w:t xml:space="preserve"> </w:t>
      </w:r>
      <w:r w:rsidR="00D6231E">
        <w:t xml:space="preserve">alors </w:t>
      </w:r>
      <w:r w:rsidR="003F0178" w:rsidRPr="003F0178">
        <w:t xml:space="preserve">dans les termes suivants : </w:t>
      </w:r>
    </w:p>
    <w:p w:rsidR="003F0178" w:rsidRPr="003F0178" w:rsidRDefault="00D6231E" w:rsidP="009842A9">
      <w:pPr>
        <w:ind w:left="567"/>
      </w:pPr>
      <w:r>
        <w:t>Comme militantes et militants</w:t>
      </w:r>
      <w:r w:rsidR="003F0178" w:rsidRPr="003F0178">
        <w:t>, nous savions n’avo</w:t>
      </w:r>
      <w:r w:rsidR="00422657">
        <w:t>ir guère de choix: s</w:t>
      </w:r>
      <w:r w:rsidR="00E35E39">
        <w:t>i nous entrions au travail, ça aurait été</w:t>
      </w:r>
      <w:r w:rsidR="003F0178" w:rsidRPr="003F0178">
        <w:t xml:space="preserve"> admettre l’inadmissible et prouver que le</w:t>
      </w:r>
      <w:r w:rsidR="00E35E39">
        <w:t xml:space="preserve"> gouvernement avait eu raison de</w:t>
      </w:r>
      <w:r w:rsidR="003F0178" w:rsidRPr="003F0178">
        <w:t xml:space="preserve"> nous; nous craignions les répercussions de ce geste pour les négociations futures. D’autre part, nous savions que certains syndicats auraient du</w:t>
      </w:r>
      <w:r w:rsidR="00E35E39">
        <w:t xml:space="preserve"> mal à demeurer en grève, que le</w:t>
      </w:r>
      <w:r w:rsidR="003F0178" w:rsidRPr="003F0178">
        <w:t xml:space="preserve">s membres seraient de plus en plus nombreux à vouloir entrer de force </w:t>
      </w:r>
      <w:r w:rsidR="00F45D23">
        <w:t>au travail, que les militantes et les militants</w:t>
      </w:r>
      <w:r w:rsidR="003F0178" w:rsidRPr="003F0178">
        <w:t xml:space="preserve"> pourra</w:t>
      </w:r>
      <w:r w:rsidR="00E35E39">
        <w:t xml:space="preserve">ient même être congédiés, etc. [...] Finalement, les </w:t>
      </w:r>
      <w:r w:rsidR="00422657">
        <w:t>« </w:t>
      </w:r>
      <w:r w:rsidR="00E35E39">
        <w:t>41</w:t>
      </w:r>
      <w:r w:rsidR="00422657">
        <w:t> » </w:t>
      </w:r>
      <w:r w:rsidR="003F0178" w:rsidRPr="003F0178">
        <w:t xml:space="preserve"> et la stratégie, avec une majorité non équivoque</w:t>
      </w:r>
      <w:r w:rsidR="00E35E39">
        <w:t>, ont recommandé la résistance […].</w:t>
      </w:r>
      <w:r w:rsidR="009842A9">
        <w:rPr>
          <w:rStyle w:val="Appelnotedebasdep"/>
        </w:rPr>
        <w:footnoteReference w:id="5"/>
      </w:r>
    </w:p>
    <w:p w:rsidR="003F0178" w:rsidRPr="003F0178" w:rsidRDefault="003F0178" w:rsidP="00F45C82">
      <w:r w:rsidRPr="003F0178">
        <w:t>26 assemblées et 63</w:t>
      </w:r>
      <w:r w:rsidR="00893445">
        <w:t xml:space="preserve"> % des membres votent </w:t>
      </w:r>
      <w:r w:rsidRPr="003F0178">
        <w:t>le défi avec un taux de participation de 58</w:t>
      </w:r>
      <w:r w:rsidR="00893445">
        <w:t> %. La désobéissance dure</w:t>
      </w:r>
      <w:r w:rsidRPr="003F0178">
        <w:t xml:space="preserve"> deux jours. Au</w:t>
      </w:r>
      <w:r w:rsidR="00F45D23">
        <w:t xml:space="preserve"> premier jour du défi</w:t>
      </w:r>
      <w:r w:rsidR="00893445">
        <w:t>, 25 syndicats désobéissen</w:t>
      </w:r>
      <w:r w:rsidRPr="003F0178">
        <w:t>t à la loi 111</w:t>
      </w:r>
      <w:r w:rsidR="004B094F">
        <w:t>;</w:t>
      </w:r>
      <w:r w:rsidRPr="003F0178">
        <w:t xml:space="preserve"> au deuxième jour ce </w:t>
      </w:r>
      <w:r w:rsidR="00893445">
        <w:t>nombre est de</w:t>
      </w:r>
      <w:r w:rsidRPr="003F0178">
        <w:t xml:space="preserve"> 28. </w:t>
      </w:r>
    </w:p>
    <w:p w:rsidR="003F0178" w:rsidRPr="003F0178" w:rsidRDefault="003F0178" w:rsidP="00F45C82">
      <w:r w:rsidRPr="003F0178">
        <w:t>La loi 11</w:t>
      </w:r>
      <w:r w:rsidR="00F45D23">
        <w:t>1 suscite</w:t>
      </w:r>
      <w:r w:rsidRPr="003F0178">
        <w:t xml:space="preserve"> une forte réaction dans la population, qui la juge beaucoup trop sévère. Ce n’est certainement pas </w:t>
      </w:r>
      <w:r w:rsidR="00F45D23">
        <w:t xml:space="preserve">étranger au fait que l’on surnomme alors le </w:t>
      </w:r>
      <w:r w:rsidRPr="003F0178">
        <w:t>premier</w:t>
      </w:r>
      <w:r w:rsidR="00F45D23">
        <w:t xml:space="preserve"> ministre René Lévesque l</w:t>
      </w:r>
      <w:r w:rsidRPr="003F0178">
        <w:t>e « boucher de New Carlisle »</w:t>
      </w:r>
      <w:r w:rsidR="00F45D23">
        <w:t>, ville dont il est originaire. C</w:t>
      </w:r>
      <w:r w:rsidRPr="003F0178">
        <w:t>onscient que l’opinion publiq</w:t>
      </w:r>
      <w:r w:rsidR="00F45D23">
        <w:t>ue n’appuie</w:t>
      </w:r>
      <w:r w:rsidRPr="003F0178">
        <w:t xml:space="preserve"> pas c</w:t>
      </w:r>
      <w:r w:rsidR="00F45D23">
        <w:t>ette loi, le gouvernement tient</w:t>
      </w:r>
      <w:r w:rsidRPr="003F0178">
        <w:t xml:space="preserve"> un discours en apparence contradicto</w:t>
      </w:r>
      <w:r w:rsidR="00F45D23">
        <w:t>ire. Au premier jour du défi, il affirme qu’il ne tolèrera</w:t>
      </w:r>
      <w:r w:rsidRPr="003F0178">
        <w:t xml:space="preserve"> </w:t>
      </w:r>
      <w:r w:rsidR="00F45D23">
        <w:t xml:space="preserve">pas </w:t>
      </w:r>
      <w:r w:rsidRPr="003F0178">
        <w:t>le non-respec</w:t>
      </w:r>
      <w:r w:rsidR="00F45D23">
        <w:t xml:space="preserve">t de la loi. Pourtant, au deuxième jour, il tente de minimiser le mouvement de défi </w:t>
      </w:r>
      <w:r w:rsidRPr="003F0178">
        <w:t>en disant que la situ</w:t>
      </w:r>
      <w:r w:rsidR="00F45D23">
        <w:t>ation n’est</w:t>
      </w:r>
      <w:r w:rsidRPr="003F0178">
        <w:t xml:space="preserve"> pas si grave.</w:t>
      </w:r>
    </w:p>
    <w:p w:rsidR="003F0178" w:rsidRPr="003F0178" w:rsidRDefault="00F45D23" w:rsidP="00F45C82">
      <w:r>
        <w:t>Le 20 février, après</w:t>
      </w:r>
      <w:r w:rsidR="003F0178" w:rsidRPr="003F0178">
        <w:t xml:space="preserve"> deux jou</w:t>
      </w:r>
      <w:r>
        <w:t xml:space="preserve">rs de grève illégale, la CEQ annonce une trêve, ce qui amène la FNEEQ à se rallier et à </w:t>
      </w:r>
      <w:r w:rsidR="003F0178" w:rsidRPr="003F0178">
        <w:t>annoncer à son tour</w:t>
      </w:r>
      <w:r>
        <w:t xml:space="preserve"> une trêve</w:t>
      </w:r>
      <w:r w:rsidR="003F0178" w:rsidRPr="003F0178">
        <w:t>. Le même jour, la CSN tient un Conseil confédé</w:t>
      </w:r>
      <w:r>
        <w:t xml:space="preserve">ral spécial au cours duquel un plan d’action est </w:t>
      </w:r>
      <w:r w:rsidR="003F0178" w:rsidRPr="003F0178">
        <w:t>adopté. Ce plan d’action, en plus de prévoir une tournée d’information dans les assemblées sy</w:t>
      </w:r>
      <w:r>
        <w:t>ndicales et une pétition, me</w:t>
      </w:r>
      <w:r w:rsidR="003F0178" w:rsidRPr="003F0178">
        <w:t xml:space="preserve">t en place </w:t>
      </w:r>
      <w:r>
        <w:t xml:space="preserve">un </w:t>
      </w:r>
      <w:r w:rsidR="003F0178" w:rsidRPr="003F0178">
        <w:t>fonds de résistance à la loi 111 pour payer les frais des poursuites judiciaires et une campagne d’information</w:t>
      </w:r>
      <w:r>
        <w:t xml:space="preserve"> plus large</w:t>
      </w:r>
      <w:r w:rsidR="003F0178" w:rsidRPr="003F0178">
        <w:t>.</w:t>
      </w:r>
    </w:p>
    <w:p w:rsidR="003F0178" w:rsidRPr="003F0178" w:rsidRDefault="003F0178" w:rsidP="00414EFF">
      <w:pPr>
        <w:pStyle w:val="Titre3"/>
      </w:pPr>
      <w:bookmarkStart w:id="24" w:name="_Toc433705720"/>
      <w:r w:rsidRPr="003F0178">
        <w:t>Commission parlementaire et conciliation</w:t>
      </w:r>
      <w:bookmarkEnd w:id="24"/>
    </w:p>
    <w:p w:rsidR="003F0178" w:rsidRPr="003F0178" w:rsidRDefault="003F0178" w:rsidP="00F45C82">
      <w:r w:rsidRPr="003F0178">
        <w:t>Le gouve</w:t>
      </w:r>
      <w:r w:rsidR="00C121A6">
        <w:t>rnement du Parti québécois sent</w:t>
      </w:r>
      <w:r w:rsidRPr="003F0178">
        <w:t xml:space="preserve"> le besoin d’organiser une commission parlementaire les 2,</w:t>
      </w:r>
      <w:r w:rsidR="004B094F">
        <w:t xml:space="preserve"> </w:t>
      </w:r>
      <w:r w:rsidRPr="003F0178">
        <w:t>3 et 4 mars</w:t>
      </w:r>
      <w:r w:rsidR="00C121A6">
        <w:t xml:space="preserve"> 1983 et invite</w:t>
      </w:r>
      <w:r w:rsidRPr="003F0178">
        <w:t xml:space="preserve"> les enseignantes et les e</w:t>
      </w:r>
      <w:r w:rsidR="00C121A6">
        <w:t>nseignants à ne pas repartir en grève. Il lui faut</w:t>
      </w:r>
      <w:r w:rsidRPr="003F0178">
        <w:t xml:space="preserve"> s’assurer de dénouer la cr</w:t>
      </w:r>
      <w:r w:rsidR="00C121A6">
        <w:t>ise. U</w:t>
      </w:r>
      <w:r w:rsidRPr="003F0178">
        <w:t xml:space="preserve">n conciliateur est nommé </w:t>
      </w:r>
      <w:r w:rsidR="00C121A6">
        <w:t xml:space="preserve">dans la foulée de cette commission </w:t>
      </w:r>
      <w:r w:rsidRPr="003F0178">
        <w:t>et une négoc</w:t>
      </w:r>
      <w:r w:rsidR="00C121A6">
        <w:t>iation de deux semaines commence</w:t>
      </w:r>
      <w:r w:rsidRPr="003F0178">
        <w:t>. Les pri</w:t>
      </w:r>
      <w:r w:rsidR="00C121A6">
        <w:t>ncipaux objets de discussion s</w:t>
      </w:r>
      <w:r w:rsidRPr="003F0178">
        <w:t>ont la tâche, la sécurité d’emploi, les départements et l’éducation aux adultes. Au terme de cette négociation,</w:t>
      </w:r>
      <w:r w:rsidR="00C121A6">
        <w:t xml:space="preserve"> le rapport du conciliateur est</w:t>
      </w:r>
      <w:r w:rsidRPr="003F0178">
        <w:t xml:space="preserve"> jugé décevant par la FNEEQ. </w:t>
      </w:r>
      <w:r w:rsidR="00C121A6">
        <w:t>Elle recommande donc</w:t>
      </w:r>
      <w:r w:rsidRPr="003F0178">
        <w:t xml:space="preserve"> aux syndicats de rejeter le rapport et d’aller à la recherche de nouveaux mandats de grève. Au terme de la consultation, la majo</w:t>
      </w:r>
      <w:r w:rsidR="00C121A6">
        <w:t>rité des syndicats rejettent</w:t>
      </w:r>
      <w:r w:rsidRPr="003F0178">
        <w:t xml:space="preserve"> le rapport </w:t>
      </w:r>
      <w:r w:rsidR="00C121A6">
        <w:t>du conciliateur, mais seuls 3 syndicats adopte</w:t>
      </w:r>
      <w:r w:rsidRPr="003F0178">
        <w:t xml:space="preserve">nt un nouveau mandat de grève. Par la suite, et </w:t>
      </w:r>
      <w:r w:rsidR="00355098">
        <w:t xml:space="preserve">notamment </w:t>
      </w:r>
      <w:r w:rsidRPr="003F0178">
        <w:t>en raison des impacts sur un bon nombre de membres, les éléments négociés en conciliation seront recommandés par le comité de stratégie et acceptés par les syndicats. Toutefois, 12 s</w:t>
      </w:r>
      <w:r w:rsidR="00355098">
        <w:t>yndicats sur les 41 s’y oppose</w:t>
      </w:r>
      <w:r w:rsidRPr="003F0178">
        <w:t>nt. Pour plusieurs membres, accept</w:t>
      </w:r>
      <w:r w:rsidR="00355098">
        <w:t xml:space="preserve">er une telle entente revient </w:t>
      </w:r>
      <w:r w:rsidRPr="003F0178">
        <w:t>ni plus ni moins à renier la lutte qui v</w:t>
      </w:r>
      <w:r w:rsidR="004B094F">
        <w:t>ient</w:t>
      </w:r>
      <w:r w:rsidRPr="003F0178">
        <w:t xml:space="preserve"> d’être </w:t>
      </w:r>
      <w:r w:rsidR="004B094F">
        <w:t>menée</w:t>
      </w:r>
      <w:r w:rsidRPr="003F0178">
        <w:t xml:space="preserve"> tout en donnant une certaine légitimité aux décrets imposés par le gouvernement Lévesque.</w:t>
      </w:r>
    </w:p>
    <w:p w:rsidR="00512AE7" w:rsidRDefault="00481094" w:rsidP="00414EFF">
      <w:pPr>
        <w:pStyle w:val="Titre2"/>
      </w:pPr>
      <w:bookmarkStart w:id="25" w:name="_Toc433705721"/>
      <w:r>
        <w:t xml:space="preserve">On ne négocie pas avec l’opinion publique : </w:t>
      </w:r>
      <w:r w:rsidR="00F363A2">
        <w:t>l</w:t>
      </w:r>
      <w:r>
        <w:t>a FIIQ en 1999</w:t>
      </w:r>
      <w:bookmarkEnd w:id="25"/>
    </w:p>
    <w:p w:rsidR="00732C10" w:rsidRDefault="00732C10" w:rsidP="00414EFF">
      <w:pPr>
        <w:pStyle w:val="Titre3"/>
      </w:pPr>
      <w:bookmarkStart w:id="26" w:name="_Toc433705722"/>
      <w:r w:rsidRPr="00265400">
        <w:t>Chronologie</w:t>
      </w:r>
      <w:r w:rsidRPr="00265400">
        <w:rPr>
          <w:vertAlign w:val="superscript"/>
        </w:rPr>
        <w:footnoteReference w:id="6"/>
      </w:r>
      <w:bookmarkEnd w:id="26"/>
    </w:p>
    <w:p w:rsidR="009A6551" w:rsidRDefault="00355098" w:rsidP="003B58EC">
      <w:r>
        <w:t>Comme l</w:t>
      </w:r>
      <w:r w:rsidR="003B58EC">
        <w:t>es négociations entre les infirmières et les infirmiers achopp</w:t>
      </w:r>
      <w:r>
        <w:t>e</w:t>
      </w:r>
      <w:r w:rsidR="003B58EC">
        <w:t xml:space="preserve">nt, les membres de la FIIQ se prononcent à 63 % en faveur d’un mandat de grève illégale le </w:t>
      </w:r>
      <w:r>
        <w:t>8 avril 1999. Ils exercent ce mandat</w:t>
      </w:r>
      <w:r w:rsidR="003B58EC">
        <w:t xml:space="preserve"> </w:t>
      </w:r>
      <w:r w:rsidR="007F0100">
        <w:t xml:space="preserve">2 jours d’abord </w:t>
      </w:r>
      <w:r>
        <w:t>à la mi-juin</w:t>
      </w:r>
      <w:r w:rsidR="003B58EC">
        <w:t>, puis</w:t>
      </w:r>
      <w:r>
        <w:t xml:space="preserve"> de façon générale et illimitée à partir du</w:t>
      </w:r>
      <w:r w:rsidR="003B58EC">
        <w:t xml:space="preserve"> 26</w:t>
      </w:r>
      <w:r>
        <w:t xml:space="preserve"> juin</w:t>
      </w:r>
      <w:r w:rsidR="003B58EC">
        <w:t xml:space="preserve">. </w:t>
      </w:r>
    </w:p>
    <w:p w:rsidR="003B58EC" w:rsidRDefault="00422657" w:rsidP="003B58EC">
      <w:r>
        <w:t>Devant</w:t>
      </w:r>
      <w:r w:rsidR="003B58EC">
        <w:t xml:space="preserve"> ce mouvement de grève, la première offensive du gouvernement </w:t>
      </w:r>
      <w:r w:rsidR="007F0100">
        <w:t>péquiste de Lucien Bouchard est</w:t>
      </w:r>
      <w:r w:rsidR="003B58EC">
        <w:t xml:space="preserve"> d’imposer des amendes à la FIIQ et à ses sections locales. Puis, le </w:t>
      </w:r>
      <w:r w:rsidR="007F0100">
        <w:t>2 juillet, malgré le capital de sympathie qu’o</w:t>
      </w:r>
      <w:r w:rsidR="003B58EC">
        <w:t>nt les infirmi</w:t>
      </w:r>
      <w:r w:rsidR="007F0100">
        <w:t>ères et les infirmiers dans</w:t>
      </w:r>
      <w:r w:rsidR="003B58EC">
        <w:t xml:space="preserve"> la populat</w:t>
      </w:r>
      <w:r w:rsidR="007F0100">
        <w:t xml:space="preserve">ion, il impose une loi spéciale, la </w:t>
      </w:r>
      <w:r w:rsidR="003B58EC" w:rsidRPr="00265400">
        <w:t>loi 72</w:t>
      </w:r>
      <w:r w:rsidR="003B58EC" w:rsidRPr="00265400">
        <w:rPr>
          <w:vertAlign w:val="superscript"/>
        </w:rPr>
        <w:footnoteReference w:id="7"/>
      </w:r>
      <w:r w:rsidR="007F0100">
        <w:t xml:space="preserve">, pour mettre fin à la </w:t>
      </w:r>
      <w:r w:rsidR="003B58EC">
        <w:t xml:space="preserve">grève. </w:t>
      </w:r>
    </w:p>
    <w:p w:rsidR="003B58EC" w:rsidRDefault="003B58EC" w:rsidP="003B58EC">
      <w:r>
        <w:t xml:space="preserve">La réponse des </w:t>
      </w:r>
      <w:r w:rsidR="007F0100">
        <w:t xml:space="preserve">infirmières et </w:t>
      </w:r>
      <w:r w:rsidR="00422657">
        <w:t xml:space="preserve">des </w:t>
      </w:r>
      <w:r w:rsidR="007F0100">
        <w:t>infirmiers n’est</w:t>
      </w:r>
      <w:r>
        <w:t xml:space="preserve"> pas celle </w:t>
      </w:r>
      <w:r w:rsidR="007F0100">
        <w:t>qu’espère</w:t>
      </w:r>
      <w:r>
        <w:t xml:space="preserve"> le gouvernement : 93 % des membres décident de poursuivre la grève illégale, </w:t>
      </w:r>
      <w:r w:rsidR="007F0100">
        <w:t xml:space="preserve">et ce </w:t>
      </w:r>
      <w:r>
        <w:t>malgré les très lourdes pénalités imposée</w:t>
      </w:r>
      <w:r w:rsidR="007F0100">
        <w:t>s</w:t>
      </w:r>
      <w:r>
        <w:t xml:space="preserve"> par la loi spéciale. </w:t>
      </w:r>
    </w:p>
    <w:p w:rsidR="00732C10" w:rsidRDefault="003B58EC" w:rsidP="00F45C82">
      <w:r>
        <w:t xml:space="preserve">Le 9 juillet, la direction de la FIIQ </w:t>
      </w:r>
      <w:r w:rsidR="007F0100">
        <w:t xml:space="preserve">propose une trêve de 48 heures que </w:t>
      </w:r>
      <w:r w:rsidR="00732C10" w:rsidRPr="00265400">
        <w:t xml:space="preserve">le gouvernement accepte aussitôt. </w:t>
      </w:r>
      <w:r>
        <w:t>Le 12</w:t>
      </w:r>
      <w:r w:rsidR="007F0100">
        <w:t xml:space="preserve"> juillet</w:t>
      </w:r>
      <w:r>
        <w:t xml:space="preserve">, cette trêve est entérinée par </w:t>
      </w:r>
      <w:r w:rsidR="00732C10" w:rsidRPr="00265400">
        <w:t>93</w:t>
      </w:r>
      <w:r w:rsidR="007F0100">
        <w:t> </w:t>
      </w:r>
      <w:r w:rsidR="00732C10" w:rsidRPr="00265400">
        <w:t xml:space="preserve">% des membres de la FIIQ. </w:t>
      </w:r>
      <w:r>
        <w:t xml:space="preserve">Le lendemain, les infirmières </w:t>
      </w:r>
      <w:r w:rsidR="007F0100">
        <w:t xml:space="preserve">et les infirmiers </w:t>
      </w:r>
      <w:r>
        <w:t>rentrent au travail et les négociations reprennent.</w:t>
      </w:r>
    </w:p>
    <w:p w:rsidR="00732C10" w:rsidRDefault="003B58EC" w:rsidP="00F45C82">
      <w:r>
        <w:t xml:space="preserve">Le 15 juillet, la </w:t>
      </w:r>
      <w:r w:rsidR="00E57DFB">
        <w:t>FIIQ et le gouvernement</w:t>
      </w:r>
      <w:r>
        <w:t xml:space="preserve"> arrivent à une entente de principe. </w:t>
      </w:r>
      <w:r w:rsidR="00732C10" w:rsidRPr="00265400">
        <w:t xml:space="preserve">Québec n'a pas </w:t>
      </w:r>
      <w:r w:rsidR="005370F0" w:rsidRPr="00265400">
        <w:t xml:space="preserve">dérogé </w:t>
      </w:r>
      <w:r w:rsidR="00E57DFB">
        <w:t>à</w:t>
      </w:r>
      <w:r w:rsidR="00732C10" w:rsidRPr="00265400">
        <w:t xml:space="preserve"> son offre de hausse salariale de 5</w:t>
      </w:r>
      <w:r w:rsidR="00E57DFB">
        <w:t> % sur trois ans et aucun</w:t>
      </w:r>
      <w:r w:rsidR="00732C10" w:rsidRPr="00265400">
        <w:t xml:space="preserve"> protocole de retour au travail</w:t>
      </w:r>
      <w:r w:rsidR="00E57DFB">
        <w:t xml:space="preserve"> n’a été conclu</w:t>
      </w:r>
      <w:r w:rsidR="00732C10" w:rsidRPr="00265400">
        <w:t>.</w:t>
      </w:r>
    </w:p>
    <w:p w:rsidR="00732C10" w:rsidRPr="00265400" w:rsidRDefault="003B58EC" w:rsidP="00F45C82">
      <w:r>
        <w:t xml:space="preserve">Le 16 juillet, en conseil fédéral, les déléguées </w:t>
      </w:r>
      <w:r w:rsidR="00E57DFB">
        <w:t xml:space="preserve">et les délégués </w:t>
      </w:r>
      <w:r>
        <w:t>de la FIIQ</w:t>
      </w:r>
      <w:r w:rsidR="00732C10" w:rsidRPr="00265400">
        <w:t xml:space="preserve"> exigent des modifications à l'entente </w:t>
      </w:r>
      <w:r w:rsidR="00E57DFB">
        <w:t xml:space="preserve">de principe et acceptent </w:t>
      </w:r>
      <w:r w:rsidR="00732C10" w:rsidRPr="00265400">
        <w:t xml:space="preserve">une nouvelle trêve de huit heures pour une reprise des négociations. </w:t>
      </w:r>
      <w:r>
        <w:t xml:space="preserve">Le lendemain, </w:t>
      </w:r>
      <w:r w:rsidR="00F363A2">
        <w:t xml:space="preserve">les </w:t>
      </w:r>
      <w:r w:rsidR="00E57DFB">
        <w:t>délégué</w:t>
      </w:r>
      <w:r>
        <w:t xml:space="preserve">s approuvent </w:t>
      </w:r>
      <w:r w:rsidR="00E57DFB">
        <w:t>à 62 %</w:t>
      </w:r>
      <w:r w:rsidR="00EC7DA4">
        <w:t xml:space="preserve"> </w:t>
      </w:r>
      <w:r>
        <w:t>une entente modifiée</w:t>
      </w:r>
      <w:r w:rsidR="00E57DFB">
        <w:t xml:space="preserve">, mais celle-ci est rejetée le 21 juillet </w:t>
      </w:r>
      <w:r>
        <w:t xml:space="preserve">par 75 % des membres. </w:t>
      </w:r>
      <w:r w:rsidR="00732C10" w:rsidRPr="00265400">
        <w:t xml:space="preserve">La plupart des infirmières </w:t>
      </w:r>
      <w:r w:rsidR="00E57DFB">
        <w:t xml:space="preserve">et des infirmiers </w:t>
      </w:r>
      <w:r w:rsidR="00732C10" w:rsidRPr="00265400">
        <w:t>rentrent au travail le soir même</w:t>
      </w:r>
      <w:r>
        <w:t>.</w:t>
      </w:r>
    </w:p>
    <w:p w:rsidR="00732C10" w:rsidRDefault="003B58EC" w:rsidP="00F45C82">
      <w:r>
        <w:t>Enfin, le 24 juillet, l</w:t>
      </w:r>
      <w:r w:rsidR="00732C10" w:rsidRPr="00265400">
        <w:t xml:space="preserve">e conseil fédéral </w:t>
      </w:r>
      <w:r>
        <w:t xml:space="preserve">de la FIIQ </w:t>
      </w:r>
      <w:r w:rsidR="00C06137">
        <w:t>décrète</w:t>
      </w:r>
      <w:r w:rsidR="00764575">
        <w:t xml:space="preserve"> la fin de la grève</w:t>
      </w:r>
      <w:r w:rsidR="00EC7DA4">
        <w:t xml:space="preserve"> et </w:t>
      </w:r>
      <w:r w:rsidR="00732C10" w:rsidRPr="00265400">
        <w:t>le recours aux moyens de pression locaux</w:t>
      </w:r>
      <w:r w:rsidR="00764575">
        <w:t xml:space="preserve"> comme le</w:t>
      </w:r>
      <w:r>
        <w:t xml:space="preserve"> refus de faire des heures supplémentaires ou d’effectuer des tâ</w:t>
      </w:r>
      <w:r w:rsidR="00764575">
        <w:t>ches non infirmières et</w:t>
      </w:r>
      <w:r>
        <w:t xml:space="preserve"> </w:t>
      </w:r>
      <w:r w:rsidR="00EC7DA4">
        <w:t xml:space="preserve">le </w:t>
      </w:r>
      <w:r>
        <w:t>d</w:t>
      </w:r>
      <w:r w:rsidR="00764575">
        <w:t>épôt systématique de griefs</w:t>
      </w:r>
      <w:r w:rsidR="00C06137">
        <w:t xml:space="preserve">. La FIIQ demande la médiation et consulte </w:t>
      </w:r>
      <w:r w:rsidR="00732C10" w:rsidRPr="00265400">
        <w:t>des experts en négociation</w:t>
      </w:r>
      <w:r>
        <w:t>.</w:t>
      </w:r>
    </w:p>
    <w:p w:rsidR="00F363A2" w:rsidRDefault="00764575" w:rsidP="00F45C82">
      <w:r>
        <w:t>Malgré une tentative rat</w:t>
      </w:r>
      <w:r w:rsidR="00F363A2">
        <w:t xml:space="preserve">ée du Parti québécois pour influencer les </w:t>
      </w:r>
      <w:r>
        <w:t>médias, l’opinion publique est</w:t>
      </w:r>
      <w:r w:rsidR="00F363A2">
        <w:t xml:space="preserve"> largement en faveur des infirmières </w:t>
      </w:r>
      <w:r>
        <w:t xml:space="preserve">et des infirmiers </w:t>
      </w:r>
      <w:r w:rsidR="00F363A2">
        <w:t>et de le</w:t>
      </w:r>
      <w:r>
        <w:t>urs revendications. Cela n’empêche pas</w:t>
      </w:r>
      <w:r w:rsidR="00F363A2">
        <w:t xml:space="preserve"> le gouvernement de faire adopter une loi spécial</w:t>
      </w:r>
      <w:r>
        <w:t>e et de forcer leur retour</w:t>
      </w:r>
      <w:r w:rsidR="00F363A2">
        <w:t xml:space="preserve"> au travail. Les infirmières ont </w:t>
      </w:r>
      <w:r>
        <w:t>réussi à défier la loi spéciale</w:t>
      </w:r>
      <w:r w:rsidR="00F363A2">
        <w:t xml:space="preserve"> et à obtenir certains gains : </w:t>
      </w:r>
      <w:r>
        <w:t xml:space="preserve">le </w:t>
      </w:r>
      <w:r w:rsidR="00F363A2">
        <w:t xml:space="preserve">repositionnement des échelles salariales, </w:t>
      </w:r>
      <w:r>
        <w:t xml:space="preserve">une </w:t>
      </w:r>
      <w:r w:rsidR="00F363A2">
        <w:t xml:space="preserve">meilleure stabilité des équipes de travail, </w:t>
      </w:r>
      <w:r>
        <w:t>l’</w:t>
      </w:r>
      <w:r w:rsidR="00F363A2">
        <w:t>amélioration de la gestion du fardeau de leur tâche et l’obligation pour les employeurs de rendre les milieux de travail exempts de violence. Par contre</w:t>
      </w:r>
      <w:r>
        <w:t>,</w:t>
      </w:r>
      <w:r w:rsidR="00F363A2">
        <w:t xml:space="preserve"> </w:t>
      </w:r>
      <w:r w:rsidR="002E7D92">
        <w:t xml:space="preserve">les conséquences </w:t>
      </w:r>
      <w:r>
        <w:t>du défi so</w:t>
      </w:r>
      <w:r w:rsidR="002E7D92">
        <w:t>nt très lourdes : 500 000</w:t>
      </w:r>
      <w:r w:rsidR="00F31211">
        <w:t> $</w:t>
      </w:r>
      <w:r>
        <w:t xml:space="preserve"> d’</w:t>
      </w:r>
      <w:r w:rsidR="00422657">
        <w:t>amendes et 12 </w:t>
      </w:r>
      <w:r w:rsidR="002E7D92">
        <w:t>millions</w:t>
      </w:r>
      <w:r w:rsidR="00F31211">
        <w:t> $</w:t>
      </w:r>
      <w:r>
        <w:t xml:space="preserve"> de</w:t>
      </w:r>
      <w:r w:rsidR="002E7D92">
        <w:t xml:space="preserve"> pe</w:t>
      </w:r>
      <w:r w:rsidR="007E35A4">
        <w:t>rtes salariales, en plus de</w:t>
      </w:r>
      <w:r w:rsidR="002E7D92">
        <w:t xml:space="preserve"> grandes tensions au sein de la fédération</w:t>
      </w:r>
      <w:r w:rsidR="00414EFF">
        <w:rPr>
          <w:rStyle w:val="Appelnotedebasdep"/>
        </w:rPr>
        <w:footnoteReference w:id="8"/>
      </w:r>
      <w:r w:rsidR="002E7D92">
        <w:t xml:space="preserve">. </w:t>
      </w:r>
    </w:p>
    <w:p w:rsidR="005154BA" w:rsidRPr="00265400" w:rsidRDefault="00834D5B" w:rsidP="00414EFF">
      <w:pPr>
        <w:pStyle w:val="Titre2"/>
      </w:pPr>
      <w:bookmarkStart w:id="27" w:name="_Toc433705723"/>
      <w:r w:rsidRPr="00265400">
        <w:t>La FSSS</w:t>
      </w:r>
      <w:r w:rsidR="002E7D92">
        <w:t xml:space="preserve"> et les services essentiels</w:t>
      </w:r>
      <w:bookmarkEnd w:id="27"/>
    </w:p>
    <w:p w:rsidR="00834D5B" w:rsidRPr="00265400" w:rsidRDefault="00834D5B" w:rsidP="00F45C82">
      <w:r w:rsidRPr="00265400">
        <w:t>Dans le domaine de la santé et des services sociaux, la Fédération des affaires sociales (</w:t>
      </w:r>
      <w:r w:rsidR="007E35A4">
        <w:t>FAS</w:t>
      </w:r>
      <w:r w:rsidR="00422657">
        <w:t>-CSN</w:t>
      </w:r>
      <w:r w:rsidR="007E35A4">
        <w:t>)</w:t>
      </w:r>
      <w:r w:rsidRPr="00265400">
        <w:t xml:space="preserve"> </w:t>
      </w:r>
      <w:r w:rsidR="00422657">
        <w:t xml:space="preserve">(maintenant la FSSS-CSN) </w:t>
      </w:r>
      <w:r w:rsidRPr="00265400">
        <w:t xml:space="preserve">se joint en 1982 aux </w:t>
      </w:r>
      <w:r w:rsidR="007E35A4">
        <w:t>camarades du réseau scolaire et débrai</w:t>
      </w:r>
      <w:r w:rsidRPr="00265400">
        <w:t>e « pour protester contre l'imposition par décret gouvernemental des conditions de travail des employés du secteur public et parapublic.</w:t>
      </w:r>
      <w:r w:rsidRPr="00265400">
        <w:rPr>
          <w:rStyle w:val="Appelnotedebasdep"/>
          <w:sz w:val="24"/>
          <w:szCs w:val="24"/>
        </w:rPr>
        <w:footnoteReference w:id="9"/>
      </w:r>
      <w:r w:rsidRPr="00265400">
        <w:t> »</w:t>
      </w:r>
      <w:r w:rsidRPr="00265400">
        <w:rPr>
          <w:rStyle w:val="Appelnotedebasdep"/>
          <w:sz w:val="24"/>
          <w:szCs w:val="24"/>
        </w:rPr>
        <w:t xml:space="preserve"> </w:t>
      </w:r>
      <w:r w:rsidRPr="00265400">
        <w:t>Cet acte</w:t>
      </w:r>
      <w:r w:rsidR="007E35A4">
        <w:t xml:space="preserve"> défi</w:t>
      </w:r>
      <w:r w:rsidR="00EC7DA4">
        <w:t>e</w:t>
      </w:r>
      <w:r w:rsidR="007E35A4">
        <w:t xml:space="preserve"> </w:t>
      </w:r>
      <w:r w:rsidR="00EC7DA4">
        <w:t>l’</w:t>
      </w:r>
      <w:r w:rsidRPr="00265400">
        <w:t>injonction imposée par un juge</w:t>
      </w:r>
      <w:r w:rsidR="007E35A4">
        <w:t xml:space="preserve"> qui interdi</w:t>
      </w:r>
      <w:r w:rsidRPr="00265400">
        <w:t xml:space="preserve">t toute grève ou </w:t>
      </w:r>
      <w:r w:rsidR="002E7D92">
        <w:t xml:space="preserve">tout </w:t>
      </w:r>
      <w:r w:rsidRPr="00265400">
        <w:t xml:space="preserve">débrayage. </w:t>
      </w:r>
    </w:p>
    <w:p w:rsidR="00834D5B" w:rsidRPr="00265400" w:rsidRDefault="00834D5B" w:rsidP="00F45C82">
      <w:r w:rsidRPr="00265400">
        <w:t>E</w:t>
      </w:r>
      <w:r w:rsidR="007E35A4">
        <w:t>n 1986, la loi spéciale 160</w:t>
      </w:r>
      <w:r w:rsidRPr="00265400">
        <w:t xml:space="preserve"> sur les services essentiels est adoptée par le gouvernement</w:t>
      </w:r>
      <w:r w:rsidR="007E35A4">
        <w:t xml:space="preserve"> libéral</w:t>
      </w:r>
      <w:r w:rsidRPr="00265400">
        <w:t xml:space="preserve"> de Robert Bourassa </w:t>
      </w:r>
      <w:r w:rsidR="005370F0" w:rsidRPr="00265400">
        <w:t xml:space="preserve">à la </w:t>
      </w:r>
      <w:r w:rsidRPr="00265400">
        <w:t xml:space="preserve">suite notamment </w:t>
      </w:r>
      <w:r w:rsidR="005370F0" w:rsidRPr="00265400">
        <w:t>de</w:t>
      </w:r>
      <w:r w:rsidRPr="00265400">
        <w:t xml:space="preserve"> deux jours </w:t>
      </w:r>
      <w:r w:rsidR="007E35A4" w:rsidRPr="00265400">
        <w:t xml:space="preserve">de grève </w:t>
      </w:r>
      <w:r w:rsidRPr="00265400">
        <w:t xml:space="preserve">non consécutifs des infirmières. Elle prévoit de lourdes sanctions contre les syndiqués de l'État si les services essentiels ne sont pas maintenus dans le réseau de la santé et des services </w:t>
      </w:r>
      <w:r w:rsidR="005370F0" w:rsidRPr="00265400">
        <w:t xml:space="preserve">sociaux </w:t>
      </w:r>
      <w:r w:rsidRPr="00265400">
        <w:t xml:space="preserve">et restreint de façon rigoureuse le droit de </w:t>
      </w:r>
      <w:r w:rsidR="007E35A4">
        <w:t>grève. La FAS défie la loi 160</w:t>
      </w:r>
      <w:r w:rsidRPr="00265400">
        <w:t xml:space="preserve"> lors des négociations de l’automne 1989 par une grève illégale de quelques</w:t>
      </w:r>
      <w:r w:rsidR="007E35A4">
        <w:t xml:space="preserve"> jours. Les syndiqués choisissent</w:t>
      </w:r>
      <w:r w:rsidRPr="00265400">
        <w:t xml:space="preserve"> ensuite d’autres moyens de pression comme le harcèlement lourd et la grève du zèle.</w:t>
      </w:r>
      <w:r w:rsidRPr="00265400">
        <w:rPr>
          <w:rStyle w:val="Appelnotedebasdep"/>
          <w:sz w:val="24"/>
          <w:szCs w:val="24"/>
        </w:rPr>
        <w:footnoteReference w:id="10"/>
      </w:r>
      <w:r w:rsidRPr="00265400">
        <w:t xml:space="preserve"> </w:t>
      </w:r>
    </w:p>
    <w:p w:rsidR="00834D5B" w:rsidRPr="00265400" w:rsidRDefault="00834D5B" w:rsidP="00F45C82">
      <w:r w:rsidRPr="00265400">
        <w:t xml:space="preserve">En décembre 2005, la FSSS </w:t>
      </w:r>
      <w:r w:rsidR="00585D4C">
        <w:t>(anciennement la FAS) réagit fortement une fois encore</w:t>
      </w:r>
      <w:r w:rsidRPr="00265400">
        <w:t xml:space="preserve"> au décret gouvernemental</w:t>
      </w:r>
      <w:r w:rsidR="00585D4C">
        <w:t>,</w:t>
      </w:r>
      <w:r w:rsidRPr="00265400">
        <w:t xml:space="preserve"> qui met fin aux négociations dans le secteur public</w:t>
      </w:r>
      <w:r w:rsidR="00585D4C">
        <w:t>,</w:t>
      </w:r>
      <w:r w:rsidRPr="00265400">
        <w:t xml:space="preserve"> par une série d’actions qu’elle publicise : </w:t>
      </w:r>
    </w:p>
    <w:p w:rsidR="00834D5B" w:rsidRPr="00265400" w:rsidRDefault="00422657" w:rsidP="00F45C82">
      <w:pPr>
        <w:pStyle w:val="Paragraphedeliste"/>
        <w:numPr>
          <w:ilvl w:val="0"/>
          <w:numId w:val="9"/>
        </w:numPr>
      </w:pPr>
      <w:r>
        <w:t>d</w:t>
      </w:r>
      <w:r w:rsidR="002E7D92">
        <w:t xml:space="preserve">es </w:t>
      </w:r>
      <w:r w:rsidR="00834D5B" w:rsidRPr="00265400">
        <w:t>actions au</w:t>
      </w:r>
      <w:r w:rsidR="002E7D92">
        <w:t>x</w:t>
      </w:r>
      <w:r w:rsidR="00834D5B" w:rsidRPr="00265400">
        <w:t xml:space="preserve"> niveau</w:t>
      </w:r>
      <w:r w:rsidR="002E7D92">
        <w:t>x</w:t>
      </w:r>
      <w:r w:rsidR="00834D5B" w:rsidRPr="00265400">
        <w:t xml:space="preserve"> local et régional jusqu’à l’ouverture de</w:t>
      </w:r>
      <w:r w:rsidR="00585D4C">
        <w:t xml:space="preserve"> la</w:t>
      </w:r>
      <w:r w:rsidR="00834D5B" w:rsidRPr="00265400">
        <w:t xml:space="preserve"> session parlementaire</w:t>
      </w:r>
      <w:r>
        <w:t xml:space="preserve"> suivante;</w:t>
      </w:r>
    </w:p>
    <w:p w:rsidR="00834D5B" w:rsidRPr="00265400" w:rsidRDefault="00422657" w:rsidP="00F45C82">
      <w:pPr>
        <w:pStyle w:val="Paragraphedeliste"/>
        <w:numPr>
          <w:ilvl w:val="0"/>
          <w:numId w:val="9"/>
        </w:numPr>
      </w:pPr>
      <w:r>
        <w:t>u</w:t>
      </w:r>
      <w:r w:rsidR="002E7D92">
        <w:t xml:space="preserve">ne </w:t>
      </w:r>
      <w:r w:rsidR="00834D5B" w:rsidRPr="00265400">
        <w:t>campagne de r</w:t>
      </w:r>
      <w:r w:rsidR="00585D4C">
        <w:t>ésistance au démantèlement de</w:t>
      </w:r>
      <w:r w:rsidR="00834D5B" w:rsidRPr="00265400">
        <w:t>s services publics et aux attaqu</w:t>
      </w:r>
      <w:r w:rsidR="00585D4C">
        <w:t>es contre le mouvement syndical. Cette</w:t>
      </w:r>
      <w:r w:rsidR="00834D5B" w:rsidRPr="00265400">
        <w:t xml:space="preserve"> c</w:t>
      </w:r>
      <w:r w:rsidR="002E7D92">
        <w:t>a</w:t>
      </w:r>
      <w:r w:rsidR="00585D4C">
        <w:t>mpagne a</w:t>
      </w:r>
      <w:r w:rsidR="00834D5B" w:rsidRPr="00265400">
        <w:t xml:space="preserve"> aussi </w:t>
      </w:r>
      <w:r w:rsidR="00585D4C">
        <w:t xml:space="preserve">pour objectif de </w:t>
      </w:r>
      <w:r w:rsidR="00834D5B" w:rsidRPr="00265400">
        <w:t xml:space="preserve">contribuer à contrer </w:t>
      </w:r>
      <w:r w:rsidR="00585D4C">
        <w:t>l</w:t>
      </w:r>
      <w:r w:rsidR="00EC7DA4">
        <w:t>e discours de</w:t>
      </w:r>
      <w:r w:rsidR="00585D4C">
        <w:t xml:space="preserve"> séduction préélectorale que le gouvernement tente</w:t>
      </w:r>
      <w:r w:rsidR="00834D5B" w:rsidRPr="00265400">
        <w:t xml:space="preserve"> d’utiliser pour tromper la populat</w:t>
      </w:r>
      <w:r w:rsidR="00585D4C">
        <w:t>ion en v</w:t>
      </w:r>
      <w:r>
        <w:t>ue d’obtenir un deuxième mandat;</w:t>
      </w:r>
    </w:p>
    <w:p w:rsidR="002E7D92" w:rsidRPr="00265400" w:rsidRDefault="00422657" w:rsidP="002E7D92">
      <w:pPr>
        <w:pStyle w:val="Paragraphedeliste"/>
        <w:numPr>
          <w:ilvl w:val="0"/>
          <w:numId w:val="9"/>
        </w:numPr>
      </w:pPr>
      <w:r>
        <w:t>l</w:t>
      </w:r>
      <w:r w:rsidR="002E7D92">
        <w:t>a production d’</w:t>
      </w:r>
      <w:r>
        <w:t>une publicité;</w:t>
      </w:r>
    </w:p>
    <w:p w:rsidR="00834D5B" w:rsidRPr="00265400" w:rsidRDefault="00422657" w:rsidP="00F45C82">
      <w:pPr>
        <w:pStyle w:val="Paragraphedeliste"/>
        <w:numPr>
          <w:ilvl w:val="0"/>
          <w:numId w:val="9"/>
        </w:numPr>
      </w:pPr>
      <w:r>
        <w:t>u</w:t>
      </w:r>
      <w:r w:rsidR="002E7D92">
        <w:t xml:space="preserve">ne </w:t>
      </w:r>
      <w:r w:rsidR="00585D4C">
        <w:t xml:space="preserve">manifestation où les </w:t>
      </w:r>
      <w:r w:rsidR="00834D5B" w:rsidRPr="00265400">
        <w:t>présidences des</w:t>
      </w:r>
      <w:r w:rsidR="00585D4C">
        <w:t xml:space="preserve"> quatre</w:t>
      </w:r>
      <w:r w:rsidR="00834D5B" w:rsidRPr="00265400">
        <w:t xml:space="preserve"> fédérations</w:t>
      </w:r>
      <w:r w:rsidR="002E7D92">
        <w:t xml:space="preserve"> </w:t>
      </w:r>
      <w:r w:rsidR="00585D4C">
        <w:t xml:space="preserve">des secteurs public et parapublic </w:t>
      </w:r>
      <w:r w:rsidR="002E7D92">
        <w:t>de la CSN</w:t>
      </w:r>
      <w:r w:rsidR="00585D4C">
        <w:t xml:space="preserve"> </w:t>
      </w:r>
      <w:r w:rsidR="00834D5B" w:rsidRPr="00265400">
        <w:t>appel</w:t>
      </w:r>
      <w:r w:rsidR="00585D4C">
        <w:t>lent à la résistance au</w:t>
      </w:r>
      <w:r w:rsidR="00834D5B" w:rsidRPr="00265400">
        <w:t xml:space="preserve"> décret et </w:t>
      </w:r>
      <w:r w:rsidR="00585D4C">
        <w:t xml:space="preserve">à la lutte pour recouvrer le </w:t>
      </w:r>
      <w:r w:rsidR="00834D5B" w:rsidRPr="00265400">
        <w:t>dr</w:t>
      </w:r>
      <w:r>
        <w:t>oit à une véritable négociation;</w:t>
      </w:r>
    </w:p>
    <w:p w:rsidR="00A70908" w:rsidRDefault="00422657" w:rsidP="00A70908">
      <w:pPr>
        <w:pStyle w:val="Paragraphedeliste"/>
        <w:numPr>
          <w:ilvl w:val="0"/>
          <w:numId w:val="9"/>
        </w:numPr>
      </w:pPr>
      <w:r>
        <w:t>l</w:t>
      </w:r>
      <w:r w:rsidR="002E7D92">
        <w:t>a production d’</w:t>
      </w:r>
      <w:r w:rsidR="00834D5B" w:rsidRPr="00265400">
        <w:t xml:space="preserve">une affiche </w:t>
      </w:r>
      <w:r w:rsidR="00585D4C">
        <w:t>destinée aux</w:t>
      </w:r>
      <w:r w:rsidR="00834D5B" w:rsidRPr="00265400">
        <w:t xml:space="preserve"> lieux de travail </w:t>
      </w:r>
      <w:r w:rsidR="00A70908">
        <w:t xml:space="preserve">et qui </w:t>
      </w:r>
      <w:r w:rsidR="00834D5B" w:rsidRPr="00265400">
        <w:t>met en scène un «</w:t>
      </w:r>
      <w:r w:rsidR="00A70908">
        <w:t> </w:t>
      </w:r>
      <w:r w:rsidR="00834D5B" w:rsidRPr="00265400">
        <w:t>portrait de famille</w:t>
      </w:r>
      <w:r w:rsidR="00A70908">
        <w:t> </w:t>
      </w:r>
      <w:r w:rsidR="00834D5B" w:rsidRPr="00265400">
        <w:t>» libéral</w:t>
      </w:r>
      <w:r>
        <w:t>;</w:t>
      </w:r>
    </w:p>
    <w:p w:rsidR="00834D5B" w:rsidRPr="00265400" w:rsidRDefault="00422657" w:rsidP="00A70908">
      <w:pPr>
        <w:pStyle w:val="Paragraphedeliste"/>
        <w:numPr>
          <w:ilvl w:val="0"/>
          <w:numId w:val="9"/>
        </w:numPr>
      </w:pPr>
      <w:r>
        <w:t>u</w:t>
      </w:r>
      <w:r w:rsidR="00A70908">
        <w:t>ne i</w:t>
      </w:r>
      <w:r w:rsidR="002E7D92">
        <w:t xml:space="preserve">nvitation </w:t>
      </w:r>
      <w:r w:rsidR="00A70908">
        <w:t>faite aux</w:t>
      </w:r>
      <w:r w:rsidR="002E7D92">
        <w:t xml:space="preserve"> syndicats</w:t>
      </w:r>
      <w:r w:rsidR="00834D5B" w:rsidRPr="00265400">
        <w:t xml:space="preserve"> à adopter une déclaration solennelle de résistance au décret et de lutte pour recouvrer le droit à une véritable négociation</w:t>
      </w:r>
      <w:r w:rsidR="00A07975">
        <w:t>,</w:t>
      </w:r>
      <w:r w:rsidR="00A07975" w:rsidRPr="00A07975">
        <w:t xml:space="preserve"> </w:t>
      </w:r>
      <w:r w:rsidR="00A07975" w:rsidRPr="00265400">
        <w:t xml:space="preserve">préparée par le </w:t>
      </w:r>
      <w:r w:rsidR="00A07975">
        <w:t>comité de coordination des secteurs public et parapublic de la CSN (</w:t>
      </w:r>
      <w:r w:rsidR="00A07975" w:rsidRPr="00265400">
        <w:t>CCSPP</w:t>
      </w:r>
      <w:r w:rsidR="00A07975">
        <w:t>)</w:t>
      </w:r>
      <w:r w:rsidR="00834D5B" w:rsidRPr="00265400">
        <w:t xml:space="preserve">. </w:t>
      </w:r>
      <w:r w:rsidR="00A07975">
        <w:t>C</w:t>
      </w:r>
      <w:r w:rsidR="00834D5B" w:rsidRPr="00265400">
        <w:t xml:space="preserve">ette déclaration </w:t>
      </w:r>
      <w:r w:rsidR="00A07975">
        <w:t xml:space="preserve">doit être déposée par les syndicats locaux </w:t>
      </w:r>
      <w:r w:rsidR="00834D5B" w:rsidRPr="00265400">
        <w:t>à la direction de leur établissement ainsi qu’au député de leur circonscription</w:t>
      </w:r>
      <w:r>
        <w:t>;</w:t>
      </w:r>
    </w:p>
    <w:p w:rsidR="00834D5B" w:rsidRPr="00265400" w:rsidRDefault="00422657" w:rsidP="002E7D92">
      <w:pPr>
        <w:pStyle w:val="Paragraphedeliste"/>
        <w:numPr>
          <w:ilvl w:val="0"/>
          <w:numId w:val="9"/>
        </w:numPr>
      </w:pPr>
      <w:r>
        <w:t>l</w:t>
      </w:r>
      <w:r w:rsidR="00A07975">
        <w:t>’o</w:t>
      </w:r>
      <w:r w:rsidR="002E7D92">
        <w:t>rganisation d’</w:t>
      </w:r>
      <w:r w:rsidR="00834D5B" w:rsidRPr="00265400">
        <w:t xml:space="preserve">une journée nationale de résistance le 14 mars, </w:t>
      </w:r>
      <w:r w:rsidR="00A07975">
        <w:t>date</w:t>
      </w:r>
      <w:r w:rsidR="00834D5B" w:rsidRPr="00265400">
        <w:t xml:space="preserve"> correspond</w:t>
      </w:r>
      <w:r w:rsidR="00A07975">
        <w:t>ant</w:t>
      </w:r>
      <w:r w:rsidR="00834D5B" w:rsidRPr="00265400">
        <w:t xml:space="preserve"> à la reprise des travaux à l’Assemblée nationale. Les syndiqué</w:t>
      </w:r>
      <w:r w:rsidR="00A07975">
        <w:t>es et les syndiqués</w:t>
      </w:r>
      <w:r w:rsidR="00834D5B" w:rsidRPr="00265400">
        <w:t xml:space="preserve"> sont invités</w:t>
      </w:r>
      <w:r w:rsidR="00A07975">
        <w:t xml:space="preserve"> pour l’occasion</w:t>
      </w:r>
      <w:r w:rsidR="00834D5B" w:rsidRPr="00265400">
        <w:t xml:space="preserve"> à se vêtir complètement en noir ou, </w:t>
      </w:r>
      <w:r w:rsidR="00EC7DA4">
        <w:t xml:space="preserve">si cela est </w:t>
      </w:r>
      <w:r w:rsidR="00834D5B" w:rsidRPr="00265400">
        <w:t>impossib</w:t>
      </w:r>
      <w:r w:rsidR="00EC7DA4">
        <w:t>le</w:t>
      </w:r>
      <w:r w:rsidR="00834D5B" w:rsidRPr="00265400">
        <w:t>, à porter un brassard.</w:t>
      </w:r>
      <w:r w:rsidR="00834D5B" w:rsidRPr="00265400">
        <w:rPr>
          <w:rStyle w:val="Appelnotedebasdep"/>
          <w:sz w:val="24"/>
        </w:rPr>
        <w:footnoteReference w:id="11"/>
      </w:r>
    </w:p>
    <w:p w:rsidR="00005BE0" w:rsidRPr="00265400" w:rsidRDefault="00694D80" w:rsidP="00414EFF">
      <w:pPr>
        <w:pStyle w:val="Titre2"/>
      </w:pPr>
      <w:bookmarkStart w:id="28" w:name="_Toc433705724"/>
      <w:r w:rsidRPr="00265400">
        <w:t xml:space="preserve">La FNEEQ en 2005 : </w:t>
      </w:r>
      <w:r w:rsidR="00A07975">
        <w:t>« </w:t>
      </w:r>
      <w:r w:rsidR="002E7D92">
        <w:t>s</w:t>
      </w:r>
      <w:r w:rsidRPr="00265400">
        <w:t>igné sous la contrainte</w:t>
      </w:r>
      <w:r w:rsidR="00A07975">
        <w:t> »</w:t>
      </w:r>
      <w:bookmarkEnd w:id="28"/>
    </w:p>
    <w:p w:rsidR="00834D5B" w:rsidRPr="00265400" w:rsidRDefault="00A07975" w:rsidP="00F45C82">
      <w:r>
        <w:t>Pour avoir un portrait complet</w:t>
      </w:r>
      <w:r w:rsidR="00834D5B" w:rsidRPr="00265400">
        <w:t xml:space="preserve"> des réactions </w:t>
      </w:r>
      <w:r w:rsidRPr="00265400">
        <w:t xml:space="preserve">possibles </w:t>
      </w:r>
      <w:r w:rsidR="00834D5B" w:rsidRPr="00265400">
        <w:t xml:space="preserve">à </w:t>
      </w:r>
      <w:r>
        <w:t>une</w:t>
      </w:r>
      <w:r w:rsidR="00834D5B" w:rsidRPr="00265400">
        <w:t xml:space="preserve"> loi spéciale, il faut aussi analyser </w:t>
      </w:r>
      <w:r w:rsidR="0039573B" w:rsidRPr="00265400">
        <w:t xml:space="preserve">des situations </w:t>
      </w:r>
      <w:r w:rsidR="00834D5B" w:rsidRPr="00265400">
        <w:t xml:space="preserve">où la décision de défier la loi n’a pas été prise. Ce fut le cas de plusieurs organisations syndicales en décembre 2005, alors que le gouvernement </w:t>
      </w:r>
      <w:r>
        <w:t xml:space="preserve">libéral </w:t>
      </w:r>
      <w:r w:rsidR="00834D5B" w:rsidRPr="00265400">
        <w:t xml:space="preserve">de Jean Charest fait adopter le projet de loi 142. À cet égard, le </w:t>
      </w:r>
      <w:r w:rsidR="0039573B" w:rsidRPr="00265400">
        <w:rPr>
          <w:i/>
        </w:rPr>
        <w:t>B</w:t>
      </w:r>
      <w:r w:rsidR="00834D5B" w:rsidRPr="00265400">
        <w:rPr>
          <w:i/>
        </w:rPr>
        <w:t xml:space="preserve">ilan </w:t>
      </w:r>
      <w:r w:rsidR="0039573B" w:rsidRPr="00265400">
        <w:rPr>
          <w:i/>
        </w:rPr>
        <w:t>2005</w:t>
      </w:r>
      <w:r w:rsidR="0039573B" w:rsidRPr="00265400">
        <w:t xml:space="preserve"> </w:t>
      </w:r>
      <w:r w:rsidR="00834D5B" w:rsidRPr="00265400">
        <w:t xml:space="preserve">de la FNEEQ est très éclairant. </w:t>
      </w:r>
    </w:p>
    <w:p w:rsidR="0086546B" w:rsidRPr="00265400" w:rsidRDefault="0086546B" w:rsidP="00F45C82">
      <w:r w:rsidRPr="00265400">
        <w:t xml:space="preserve">Du côté patronal, les ouvertures sont rares et </w:t>
      </w:r>
      <w:r w:rsidR="00A07975">
        <w:t>le plus souvent refermées rapidement</w:t>
      </w:r>
      <w:r w:rsidRPr="00265400">
        <w:t xml:space="preserve">. </w:t>
      </w:r>
      <w:r w:rsidR="00A07975">
        <w:t>Tr</w:t>
      </w:r>
      <w:r w:rsidRPr="00265400">
        <w:t>ois mots d’ord</w:t>
      </w:r>
      <w:r w:rsidR="00A07975">
        <w:t>re dictent</w:t>
      </w:r>
      <w:r w:rsidRPr="00265400">
        <w:t xml:space="preserve"> le cadre de la négociation</w:t>
      </w:r>
      <w:r w:rsidR="000C2C06">
        <w:t xml:space="preserve"> d</w:t>
      </w:r>
      <w:r w:rsidR="00A07975">
        <w:t>u comité patronal de négociation des collèges (CPNC)</w:t>
      </w:r>
      <w:r w:rsidRPr="00265400">
        <w:t> : souplesse, flexibilité</w:t>
      </w:r>
      <w:r w:rsidR="00A07975">
        <w:t xml:space="preserve"> et</w:t>
      </w:r>
      <w:r w:rsidRPr="00265400">
        <w:t xml:space="preserve"> coût zéro. Malgré plusieurs tentatives de </w:t>
      </w:r>
      <w:r w:rsidR="00A07975">
        <w:t>dénouer</w:t>
      </w:r>
      <w:r w:rsidRPr="00265400">
        <w:t xml:space="preserve"> l</w:t>
      </w:r>
      <w:r w:rsidR="00A07975">
        <w:t>a négociation</w:t>
      </w:r>
      <w:r w:rsidRPr="00265400">
        <w:t xml:space="preserve"> </w:t>
      </w:r>
      <w:r w:rsidR="00A07975">
        <w:t>— </w:t>
      </w:r>
      <w:r w:rsidR="005A46B6" w:rsidRPr="00265400">
        <w:t>sous-</w:t>
      </w:r>
      <w:r w:rsidRPr="00265400">
        <w:t xml:space="preserve">tables techniques, rencontres politiques, coordination avec le </w:t>
      </w:r>
      <w:r w:rsidR="00A07975">
        <w:t>c</w:t>
      </w:r>
      <w:r w:rsidRPr="00265400">
        <w:t>artel</w:t>
      </w:r>
      <w:r w:rsidR="0039573B" w:rsidRPr="00265400">
        <w:t xml:space="preserve"> FAC-FEC</w:t>
      </w:r>
      <w:r w:rsidR="00A07975">
        <w:rPr>
          <w:rStyle w:val="Appelnotedebasdep"/>
        </w:rPr>
        <w:footnoteReference w:id="12"/>
      </w:r>
      <w:r w:rsidR="00A07975">
        <w:t> —,</w:t>
      </w:r>
      <w:r w:rsidRPr="00265400">
        <w:t xml:space="preserve"> la partie patronale reste de marbre</w:t>
      </w:r>
      <w:r w:rsidR="00A07975">
        <w:t>, contrairement au principe de « flexibilité » qu’elle prône</w:t>
      </w:r>
      <w:r w:rsidR="000C2C06">
        <w:t xml:space="preserve"> pourtant</w:t>
      </w:r>
      <w:r w:rsidRPr="00265400">
        <w:t xml:space="preserve">. </w:t>
      </w:r>
    </w:p>
    <w:p w:rsidR="0086546B" w:rsidRPr="00265400" w:rsidRDefault="0086546B" w:rsidP="00F45C82">
      <w:r w:rsidRPr="00265400">
        <w:t>À la rencontre de négociation du 27 novembre</w:t>
      </w:r>
      <w:r w:rsidR="005A46B6" w:rsidRPr="00265400">
        <w:t xml:space="preserve"> 2005</w:t>
      </w:r>
      <w:r w:rsidR="0039573B" w:rsidRPr="00265400">
        <w:t xml:space="preserve">, on sent que la partie patronale ne </w:t>
      </w:r>
      <w:r w:rsidR="000C2C06">
        <w:t>travaille pas à</w:t>
      </w:r>
      <w:r w:rsidR="0039573B" w:rsidRPr="00265400">
        <w:t xml:space="preserve"> un règlement, tant elle</w:t>
      </w:r>
      <w:r w:rsidR="000C2C06">
        <w:t xml:space="preserve"> maintient</w:t>
      </w:r>
      <w:r w:rsidR="0039573B" w:rsidRPr="00265400">
        <w:t xml:space="preserve"> des attaques majeures aux conventions collectives des professeures</w:t>
      </w:r>
      <w:r w:rsidR="000C2C06">
        <w:t xml:space="preserve"> et des professeurs</w:t>
      </w:r>
      <w:r w:rsidR="0039573B" w:rsidRPr="00265400">
        <w:t xml:space="preserve"> de cégep, notamment sur l’évaluation et la sécurité d’emploi.</w:t>
      </w:r>
      <w:r w:rsidRPr="00265400">
        <w:t xml:space="preserve"> </w:t>
      </w:r>
      <w:r w:rsidR="0039573B" w:rsidRPr="00265400">
        <w:t>Au même moment, le</w:t>
      </w:r>
      <w:r w:rsidRPr="00265400">
        <w:t xml:space="preserve"> Conseil du trésor évoque la date butoir du 14 décembre 2005 pour </w:t>
      </w:r>
      <w:r w:rsidR="0039573B" w:rsidRPr="00265400">
        <w:t xml:space="preserve">terminer </w:t>
      </w:r>
      <w:r w:rsidRPr="00265400">
        <w:t xml:space="preserve">les négociations. </w:t>
      </w:r>
      <w:r w:rsidR="0039573B" w:rsidRPr="00265400">
        <w:t>« L’odeur du décret se fait prégnante »</w:t>
      </w:r>
      <w:r w:rsidR="0039573B" w:rsidRPr="00265400">
        <w:rPr>
          <w:rStyle w:val="Appelnotedebasdep"/>
        </w:rPr>
        <w:footnoteReference w:id="13"/>
      </w:r>
      <w:r w:rsidR="0039573B" w:rsidRPr="00265400">
        <w:t>.</w:t>
      </w:r>
      <w:r w:rsidR="00811F0D" w:rsidRPr="00265400">
        <w:t xml:space="preserve"> </w:t>
      </w:r>
    </w:p>
    <w:p w:rsidR="00811F0D" w:rsidRPr="00265400" w:rsidRDefault="00811F0D" w:rsidP="00F45C82">
      <w:r w:rsidRPr="00265400">
        <w:t>Le 9 décembre 2005, le CPNC dépose une offre global</w:t>
      </w:r>
      <w:r w:rsidR="000C2C06">
        <w:t>e qui</w:t>
      </w:r>
      <w:r w:rsidRPr="00265400">
        <w:t xml:space="preserve"> reprend essentiellement des préoccupations patronales et fai</w:t>
      </w:r>
      <w:r w:rsidR="000C2C06">
        <w:t>t</w:t>
      </w:r>
      <w:r w:rsidRPr="00265400">
        <w:t xml:space="preserve"> fi des demandes syndicales. Presqu</w:t>
      </w:r>
      <w:r w:rsidR="000C2C06">
        <w:t>e simultanément</w:t>
      </w:r>
      <w:r w:rsidRPr="00265400">
        <w:t xml:space="preserve">, le gouvernement convoque un Conseil des ministres le 13 décembre. </w:t>
      </w:r>
      <w:r w:rsidR="00BE6033">
        <w:t>Une</w:t>
      </w:r>
      <w:r w:rsidRPr="00265400">
        <w:t xml:space="preserve"> loi spéciale et</w:t>
      </w:r>
      <w:r w:rsidR="00BE6033">
        <w:t xml:space="preserve"> un</w:t>
      </w:r>
      <w:r w:rsidRPr="00265400">
        <w:t xml:space="preserve"> décret semblent de plus en plus probables. </w:t>
      </w:r>
    </w:p>
    <w:p w:rsidR="00811F0D" w:rsidRPr="00265400" w:rsidRDefault="00811F0D" w:rsidP="00F45C82">
      <w:r w:rsidRPr="00265400">
        <w:t xml:space="preserve">Le 12 décembre, le regroupement cégep </w:t>
      </w:r>
      <w:r w:rsidR="00BE6033">
        <w:t xml:space="preserve">se </w:t>
      </w:r>
      <w:r w:rsidRPr="00265400">
        <w:t>réuni</w:t>
      </w:r>
      <w:r w:rsidR="00BE6033">
        <w:t>t</w:t>
      </w:r>
      <w:r w:rsidRPr="00265400">
        <w:t>. « La tension est palpable devant le spectre d’un éventuel décret, même si, pour l’heure, il ne s’agit toujours que d’une possibilité</w:t>
      </w:r>
      <w:r w:rsidRPr="00265400">
        <w:rPr>
          <w:rStyle w:val="Appelnotedebasdep"/>
        </w:rPr>
        <w:footnoteReference w:id="14"/>
      </w:r>
      <w:r w:rsidR="009A6551">
        <w:t>. »</w:t>
      </w:r>
      <w:r w:rsidRPr="00265400">
        <w:t xml:space="preserve"> Sans surprise, l’offre globale déposée par les patrons trois jours plus tôt est rejetée. </w:t>
      </w:r>
    </w:p>
    <w:p w:rsidR="005A46B6" w:rsidRPr="00265400" w:rsidRDefault="00811F0D" w:rsidP="00F45C82">
      <w:r w:rsidRPr="00265400">
        <w:t xml:space="preserve">Le 14 décembre, à 13 heures, la partie patronale, sous prétexte d’une manifestation sur l’autoroute, annonce que les négociations finiront à 18 heures. À l’heure dite, le comité de stratégie est placé devant un dilemme : </w:t>
      </w:r>
      <w:r w:rsidR="002A58C1">
        <w:t>« </w:t>
      </w:r>
      <w:r w:rsidRPr="00265400">
        <w:t xml:space="preserve">signer une entente qui est bien loin de nos attentes, mais dont on mesure la teneur, ou la refuser. On ne connaît pas, à ce moment le contenu du décret </w:t>
      </w:r>
      <w:r w:rsidR="0039573B" w:rsidRPr="00265400">
        <w:t>[</w:t>
      </w:r>
      <w:r w:rsidRPr="00265400">
        <w:t>ni celui de la loi spéciale et de son</w:t>
      </w:r>
      <w:r w:rsidR="0039573B" w:rsidRPr="00265400">
        <w:t>]</w:t>
      </w:r>
      <w:r w:rsidRPr="00265400">
        <w:t xml:space="preserve"> arsenal répressif</w:t>
      </w:r>
      <w:r w:rsidRPr="00265400">
        <w:rPr>
          <w:rStyle w:val="Appelnotedebasdep"/>
        </w:rPr>
        <w:footnoteReference w:id="15"/>
      </w:r>
      <w:r w:rsidRPr="00265400">
        <w:t>.</w:t>
      </w:r>
      <w:r w:rsidR="002A58C1">
        <w:t> »</w:t>
      </w:r>
    </w:p>
    <w:p w:rsidR="00811F0D" w:rsidRPr="00265400" w:rsidRDefault="00811F0D" w:rsidP="00F45C82">
      <w:r w:rsidRPr="00265400">
        <w:t>Le comité de stratégie de la FNEEQ décide de ne pas signer l’entente</w:t>
      </w:r>
      <w:r w:rsidR="002A58C1">
        <w:t>. L</w:t>
      </w:r>
      <w:r w:rsidRPr="00265400">
        <w:t xml:space="preserve">e 15 décembre, on apprend que le Cartel </w:t>
      </w:r>
      <w:r w:rsidR="002A58C1">
        <w:t xml:space="preserve">FAC-FEC </w:t>
      </w:r>
      <w:r w:rsidRPr="00265400">
        <w:t xml:space="preserve">a décidé </w:t>
      </w:r>
      <w:r w:rsidR="002A58C1">
        <w:t xml:space="preserve">de son côté </w:t>
      </w:r>
      <w:r w:rsidRPr="00265400">
        <w:t xml:space="preserve">de </w:t>
      </w:r>
      <w:r w:rsidR="00EC7DA4">
        <w:t xml:space="preserve">la </w:t>
      </w:r>
      <w:r w:rsidRPr="00265400">
        <w:t>signer. Le comité de stratégie décid</w:t>
      </w:r>
      <w:r w:rsidR="002A58C1">
        <w:t xml:space="preserve">e donc par la suite </w:t>
      </w:r>
      <w:r w:rsidRPr="00265400">
        <w:t xml:space="preserve">de signer cette entente, pour trois principales raisons : </w:t>
      </w:r>
    </w:p>
    <w:p w:rsidR="00811F0D" w:rsidRPr="00265400" w:rsidRDefault="00811F0D" w:rsidP="00F45C82">
      <w:pPr>
        <w:pStyle w:val="Paragraphedeliste"/>
        <w:numPr>
          <w:ilvl w:val="0"/>
          <w:numId w:val="2"/>
        </w:numPr>
      </w:pPr>
      <w:r w:rsidRPr="00265400">
        <w:t>cela sembl</w:t>
      </w:r>
      <w:r w:rsidR="002A58C1">
        <w:t>e</w:t>
      </w:r>
      <w:r w:rsidRPr="00265400">
        <w:t xml:space="preserve"> la « moins mauvaise décision » pour les membres</w:t>
      </w:r>
      <w:r w:rsidR="002A58C1">
        <w:t>;</w:t>
      </w:r>
    </w:p>
    <w:p w:rsidR="00811F0D" w:rsidRPr="00265400" w:rsidRDefault="00811F0D" w:rsidP="00F45C82">
      <w:pPr>
        <w:pStyle w:val="Paragraphedeliste"/>
        <w:numPr>
          <w:ilvl w:val="0"/>
          <w:numId w:val="2"/>
        </w:numPr>
      </w:pPr>
      <w:r w:rsidRPr="00265400">
        <w:t>cela permet de soumettre l’entente à la consultation, ce que n’aurait pas permis un décret</w:t>
      </w:r>
      <w:r w:rsidR="002A58C1">
        <w:t>;</w:t>
      </w:r>
    </w:p>
    <w:p w:rsidR="00811F0D" w:rsidRPr="00265400" w:rsidRDefault="00811F0D" w:rsidP="00F45C82">
      <w:pPr>
        <w:pStyle w:val="Paragraphedeliste"/>
        <w:numPr>
          <w:ilvl w:val="0"/>
          <w:numId w:val="2"/>
        </w:numPr>
      </w:pPr>
      <w:r w:rsidRPr="00265400">
        <w:t>si la FNEEQ ne sign</w:t>
      </w:r>
      <w:r w:rsidR="002A58C1">
        <w:t>e</w:t>
      </w:r>
      <w:r w:rsidRPr="00265400">
        <w:t xml:space="preserve"> pas, la convention collective de la fédération sera beaucoup trop </w:t>
      </w:r>
      <w:r w:rsidR="002A58C1">
        <w:t>différente</w:t>
      </w:r>
      <w:r w:rsidR="002A58C1" w:rsidRPr="00265400">
        <w:t xml:space="preserve"> </w:t>
      </w:r>
      <w:r w:rsidRPr="00265400">
        <w:t xml:space="preserve">de celles des autres </w:t>
      </w:r>
      <w:r w:rsidR="002A58C1">
        <w:t>enseignantes et enseignants</w:t>
      </w:r>
      <w:r w:rsidRPr="00265400">
        <w:t xml:space="preserve"> de cégep. </w:t>
      </w:r>
    </w:p>
    <w:p w:rsidR="00811F0D" w:rsidRPr="00265400" w:rsidRDefault="002A58C1" w:rsidP="00F45C82">
      <w:r>
        <w:t>Même si</w:t>
      </w:r>
      <w:r w:rsidR="0039573B" w:rsidRPr="00265400">
        <w:t xml:space="preserve"> la FNEEQ </w:t>
      </w:r>
      <w:r w:rsidR="00EC7DA4">
        <w:t>évite</w:t>
      </w:r>
      <w:r w:rsidR="0039573B" w:rsidRPr="00265400">
        <w:t xml:space="preserve"> l’application du décret, la loi spéciale </w:t>
      </w:r>
      <w:r>
        <w:t>est</w:t>
      </w:r>
      <w:r w:rsidR="0039573B" w:rsidRPr="00265400">
        <w:t xml:space="preserve"> adoptée et s’appliqu</w:t>
      </w:r>
      <w:r>
        <w:t>e</w:t>
      </w:r>
      <w:r w:rsidR="0039573B" w:rsidRPr="00265400">
        <w:t xml:space="preserve"> à l’ensemble des employés du secteur public. Essentiellement, toute </w:t>
      </w:r>
      <w:r w:rsidR="00431179" w:rsidRPr="00265400">
        <w:t>action</w:t>
      </w:r>
      <w:r w:rsidR="0039573B" w:rsidRPr="00265400">
        <w:t xml:space="preserve"> pouva</w:t>
      </w:r>
      <w:r>
        <w:t>nt</w:t>
      </w:r>
      <w:r w:rsidR="0039573B" w:rsidRPr="00265400">
        <w:t xml:space="preserve"> entraver ou perturber </w:t>
      </w:r>
      <w:r w:rsidR="00431179" w:rsidRPr="00265400">
        <w:t xml:space="preserve">le cours normal des activités </w:t>
      </w:r>
      <w:r>
        <w:t>est</w:t>
      </w:r>
      <w:r w:rsidR="00431179" w:rsidRPr="00265400">
        <w:t xml:space="preserve"> </w:t>
      </w:r>
      <w:r w:rsidR="009A6551">
        <w:t>interdite pendant cinq</w:t>
      </w:r>
      <w:r w:rsidR="00431179" w:rsidRPr="00265400">
        <w:t xml:space="preserve"> an</w:t>
      </w:r>
      <w:r>
        <w:t>s</w:t>
      </w:r>
      <w:r w:rsidR="00431179" w:rsidRPr="00265400">
        <w:t>. Les actions entreprises se limit</w:t>
      </w:r>
      <w:r w:rsidR="00EC7DA4">
        <w:t>ent donc</w:t>
      </w:r>
      <w:r w:rsidR="00431179" w:rsidRPr="00265400">
        <w:t xml:space="preserve"> à une contestation juridique de la loi spéciale et à une campagne d’éducation politique pour protester contre la loi spéc</w:t>
      </w:r>
      <w:r w:rsidR="00EC7DA4">
        <w:t>i</w:t>
      </w:r>
      <w:r w:rsidR="00431179" w:rsidRPr="00265400">
        <w:t xml:space="preserve">ale et pour dénoncer le discours </w:t>
      </w:r>
      <w:r>
        <w:t>gouvernemental</w:t>
      </w:r>
      <w:r w:rsidR="00431179" w:rsidRPr="00265400">
        <w:t xml:space="preserve">. </w:t>
      </w:r>
    </w:p>
    <w:p w:rsidR="00834D5B" w:rsidRPr="00265400" w:rsidRDefault="00834D5B" w:rsidP="00414EFF">
      <w:pPr>
        <w:pStyle w:val="Titre2"/>
      </w:pPr>
      <w:bookmarkStart w:id="29" w:name="_Toc433705725"/>
      <w:r w:rsidRPr="00265400">
        <w:t>La grève étudiante de 2012 : le droit de manifester plus que fragilisé</w:t>
      </w:r>
      <w:bookmarkEnd w:id="29"/>
    </w:p>
    <w:p w:rsidR="00834D5B" w:rsidRPr="00265400" w:rsidRDefault="00834D5B" w:rsidP="00F45C82">
      <w:pPr>
        <w:rPr>
          <w:lang w:val="fr-FR"/>
        </w:rPr>
      </w:pPr>
      <w:r w:rsidRPr="00265400">
        <w:t>Plus récemment, le gouvernement libéral de Jean Charest</w:t>
      </w:r>
      <w:r w:rsidR="00C1046F">
        <w:t xml:space="preserve"> </w:t>
      </w:r>
      <w:r w:rsidRPr="00265400">
        <w:t>impos</w:t>
      </w:r>
      <w:r w:rsidR="00C1046F">
        <w:t>e</w:t>
      </w:r>
      <w:r w:rsidRPr="00265400">
        <w:t xml:space="preserve"> le 18 mai 2012 </w:t>
      </w:r>
      <w:r w:rsidR="00EC7DA4">
        <w:t>la</w:t>
      </w:r>
      <w:r w:rsidRPr="00265400">
        <w:t xml:space="preserve"> loi spéciale </w:t>
      </w:r>
      <w:r w:rsidR="00EC7DA4">
        <w:t xml:space="preserve">12 </w:t>
      </w:r>
      <w:r w:rsidRPr="00265400">
        <w:t>pour</w:t>
      </w:r>
      <w:r w:rsidR="00C1046F">
        <w:t>,</w:t>
      </w:r>
      <w:r w:rsidRPr="00265400">
        <w:t xml:space="preserve"> </w:t>
      </w:r>
      <w:r w:rsidR="00C1046F">
        <w:t>selon la rhétorique gouvernementale,</w:t>
      </w:r>
      <w:r w:rsidR="00C1046F" w:rsidRPr="00265400">
        <w:t xml:space="preserve"> </w:t>
      </w:r>
      <w:r w:rsidRPr="00265400">
        <w:t>mettre fin à la « crise sociale » dans laquelle le mouvement étudiant a</w:t>
      </w:r>
      <w:r w:rsidR="00C1046F">
        <w:t xml:space="preserve">urait </w:t>
      </w:r>
      <w:r w:rsidRPr="00265400">
        <w:t>plongé le Québec.</w:t>
      </w:r>
      <w:r w:rsidR="002E7D92">
        <w:t xml:space="preserve"> </w:t>
      </w:r>
      <w:r w:rsidRPr="00265400">
        <w:t>Cette loi d</w:t>
      </w:r>
      <w:r w:rsidR="00C1046F">
        <w:t>oi</w:t>
      </w:r>
      <w:r w:rsidRPr="00265400">
        <w:t xml:space="preserve">t permettre </w:t>
      </w:r>
      <w:r w:rsidRPr="00265400">
        <w:rPr>
          <w:bCs/>
          <w:lang w:val="fr-FR"/>
        </w:rPr>
        <w:t>aux étudiantes et aux étudiants de recevoir l’enseignement dispensé par les établissements de niveau postsecondaire qu'ils fréquentent.</w:t>
      </w:r>
      <w:r w:rsidR="002E7D92">
        <w:rPr>
          <w:bCs/>
          <w:lang w:val="fr-FR"/>
        </w:rPr>
        <w:t xml:space="preserve"> </w:t>
      </w:r>
      <w:r w:rsidR="00EC7DA4">
        <w:rPr>
          <w:bCs/>
          <w:lang w:val="fr-FR"/>
        </w:rPr>
        <w:t>La</w:t>
      </w:r>
      <w:r w:rsidRPr="00265400">
        <w:rPr>
          <w:bCs/>
          <w:lang w:val="fr-FR"/>
        </w:rPr>
        <w:t xml:space="preserve"> loi</w:t>
      </w:r>
      <w:r w:rsidR="00EC7DA4">
        <w:rPr>
          <w:bCs/>
          <w:lang w:val="fr-FR"/>
        </w:rPr>
        <w:t xml:space="preserve"> 12</w:t>
      </w:r>
      <w:r w:rsidRPr="00265400">
        <w:rPr>
          <w:bCs/>
          <w:lang w:val="fr-FR"/>
        </w:rPr>
        <w:t xml:space="preserve"> intervient après la quatorzième semaine de grève </w:t>
      </w:r>
      <w:r w:rsidR="00C1046F">
        <w:rPr>
          <w:bCs/>
          <w:lang w:val="fr-FR"/>
        </w:rPr>
        <w:t>étudiante</w:t>
      </w:r>
      <w:r w:rsidRPr="00265400">
        <w:rPr>
          <w:bCs/>
          <w:lang w:val="fr-FR"/>
        </w:rPr>
        <w:t>.</w:t>
      </w:r>
      <w:r w:rsidR="002E7D92">
        <w:rPr>
          <w:bCs/>
          <w:lang w:val="fr-FR"/>
        </w:rPr>
        <w:t xml:space="preserve"> </w:t>
      </w:r>
      <w:r w:rsidR="00EC7DA4">
        <w:rPr>
          <w:bCs/>
          <w:lang w:val="fr-FR"/>
        </w:rPr>
        <w:t>Elle</w:t>
      </w:r>
      <w:r w:rsidRPr="00265400">
        <w:rPr>
          <w:bCs/>
          <w:lang w:val="fr-FR"/>
        </w:rPr>
        <w:t xml:space="preserve"> est abrogée en septembre 2012 </w:t>
      </w:r>
      <w:r w:rsidR="00EC7DA4">
        <w:rPr>
          <w:bCs/>
          <w:lang w:val="fr-FR"/>
        </w:rPr>
        <w:t>dans la foulée de l’élection</w:t>
      </w:r>
      <w:r w:rsidR="00EC7DA4" w:rsidRPr="00265400">
        <w:rPr>
          <w:bCs/>
          <w:lang w:val="fr-FR"/>
        </w:rPr>
        <w:t xml:space="preserve"> </w:t>
      </w:r>
      <w:r w:rsidR="00EC7DA4">
        <w:rPr>
          <w:bCs/>
          <w:lang w:val="fr-FR"/>
        </w:rPr>
        <w:t>du</w:t>
      </w:r>
      <w:r w:rsidR="002E7D92">
        <w:rPr>
          <w:bCs/>
          <w:lang w:val="fr-FR"/>
        </w:rPr>
        <w:t xml:space="preserve"> </w:t>
      </w:r>
      <w:r w:rsidRPr="00265400">
        <w:rPr>
          <w:bCs/>
          <w:lang w:val="fr-FR"/>
        </w:rPr>
        <w:t xml:space="preserve">gouvernement du Parti québécois de Pauline Marois. </w:t>
      </w:r>
    </w:p>
    <w:p w:rsidR="00834D5B" w:rsidRPr="00265400" w:rsidRDefault="00834D5B" w:rsidP="00F45C82">
      <w:pPr>
        <w:rPr>
          <w:lang w:val="fr-FR"/>
        </w:rPr>
      </w:pPr>
      <w:r w:rsidRPr="00265400">
        <w:rPr>
          <w:lang w:val="fr-FR"/>
        </w:rPr>
        <w:t>Cette loi est unique à plusieurs égards</w:t>
      </w:r>
      <w:r w:rsidR="00433652">
        <w:rPr>
          <w:lang w:val="fr-FR"/>
        </w:rPr>
        <w:t>,</w:t>
      </w:r>
      <w:r w:rsidRPr="00265400">
        <w:rPr>
          <w:lang w:val="fr-FR"/>
        </w:rPr>
        <w:t xml:space="preserve"> même si elle s’inscrit dans la </w:t>
      </w:r>
      <w:r w:rsidR="00433652">
        <w:rPr>
          <w:lang w:val="fr-FR"/>
        </w:rPr>
        <w:t xml:space="preserve">tradition des </w:t>
      </w:r>
      <w:r w:rsidRPr="00265400">
        <w:rPr>
          <w:lang w:val="fr-FR"/>
        </w:rPr>
        <w:t>réaction</w:t>
      </w:r>
      <w:r w:rsidR="00433652">
        <w:rPr>
          <w:lang w:val="fr-FR"/>
        </w:rPr>
        <w:t>s gouvernementales</w:t>
      </w:r>
      <w:r w:rsidRPr="00265400">
        <w:rPr>
          <w:lang w:val="fr-FR"/>
        </w:rPr>
        <w:t xml:space="preserve"> de plus en plus automatique</w:t>
      </w:r>
      <w:r w:rsidR="00433652">
        <w:rPr>
          <w:lang w:val="fr-FR"/>
        </w:rPr>
        <w:t xml:space="preserve">s face aux grèves. </w:t>
      </w:r>
      <w:r w:rsidRPr="00265400">
        <w:rPr>
          <w:lang w:val="fr-FR"/>
        </w:rPr>
        <w:t>D’abord,</w:t>
      </w:r>
      <w:r w:rsidR="002E7D92">
        <w:rPr>
          <w:lang w:val="fr-FR"/>
        </w:rPr>
        <w:t xml:space="preserve"> </w:t>
      </w:r>
      <w:r w:rsidRPr="00265400">
        <w:rPr>
          <w:lang w:val="fr-FR"/>
        </w:rPr>
        <w:t>c</w:t>
      </w:r>
      <w:r w:rsidR="00433652">
        <w:rPr>
          <w:lang w:val="fr-FR"/>
        </w:rPr>
        <w:t>’est</w:t>
      </w:r>
      <w:r w:rsidRPr="00265400">
        <w:rPr>
          <w:lang w:val="fr-FR"/>
        </w:rPr>
        <w:t xml:space="preserve"> la première fois qu</w:t>
      </w:r>
      <w:r w:rsidR="00433652">
        <w:rPr>
          <w:lang w:val="fr-FR"/>
        </w:rPr>
        <w:t>’un</w:t>
      </w:r>
      <w:r w:rsidRPr="00265400">
        <w:rPr>
          <w:lang w:val="fr-FR"/>
        </w:rPr>
        <w:t xml:space="preserve"> gouvernement recoure à une loi spéciale dans le cas d</w:t>
      </w:r>
      <w:r w:rsidR="00433652">
        <w:rPr>
          <w:lang w:val="fr-FR"/>
        </w:rPr>
        <w:t xml:space="preserve">’une grève </w:t>
      </w:r>
      <w:r w:rsidRPr="00265400">
        <w:rPr>
          <w:lang w:val="fr-FR"/>
        </w:rPr>
        <w:t>étudiant</w:t>
      </w:r>
      <w:r w:rsidR="00433652">
        <w:rPr>
          <w:lang w:val="fr-FR"/>
        </w:rPr>
        <w:t>e</w:t>
      </w:r>
      <w:r w:rsidRPr="00265400">
        <w:rPr>
          <w:lang w:val="fr-FR"/>
        </w:rPr>
        <w:t>.</w:t>
      </w:r>
      <w:r w:rsidR="002E7D92">
        <w:rPr>
          <w:lang w:val="fr-FR"/>
        </w:rPr>
        <w:t xml:space="preserve"> </w:t>
      </w:r>
      <w:r w:rsidR="00433652">
        <w:rPr>
          <w:lang w:val="fr-FR"/>
        </w:rPr>
        <w:t>De plus</w:t>
      </w:r>
      <w:r w:rsidRPr="00265400">
        <w:rPr>
          <w:lang w:val="fr-FR"/>
        </w:rPr>
        <w:t>, cette loi force le retour des étudiantes et des étudiants sur les bancs d’école, mais prive aussi la société civile de son droit à la liberté d’expression</w:t>
      </w:r>
      <w:r w:rsidR="00433652">
        <w:rPr>
          <w:lang w:val="fr-FR"/>
        </w:rPr>
        <w:t>,</w:t>
      </w:r>
      <w:r w:rsidRPr="00265400">
        <w:rPr>
          <w:lang w:val="fr-FR"/>
        </w:rPr>
        <w:t xml:space="preserve"> notamment </w:t>
      </w:r>
      <w:r w:rsidR="00433652">
        <w:rPr>
          <w:lang w:val="fr-FR"/>
        </w:rPr>
        <w:t>celui</w:t>
      </w:r>
      <w:r w:rsidR="00F31211">
        <w:rPr>
          <w:lang w:val="fr-FR"/>
        </w:rPr>
        <w:t xml:space="preserve"> </w:t>
      </w:r>
      <w:r w:rsidRPr="00265400">
        <w:rPr>
          <w:lang w:val="fr-FR"/>
        </w:rPr>
        <w:t>à</w:t>
      </w:r>
      <w:r w:rsidR="00433652">
        <w:rPr>
          <w:lang w:val="fr-FR"/>
        </w:rPr>
        <w:t xml:space="preserve"> la</w:t>
      </w:r>
      <w:r w:rsidRPr="00265400">
        <w:rPr>
          <w:lang w:val="fr-FR"/>
        </w:rPr>
        <w:t xml:space="preserve"> manifestation spontanée</w:t>
      </w:r>
      <w:r w:rsidR="00EC7DA4">
        <w:rPr>
          <w:lang w:val="fr-FR"/>
        </w:rPr>
        <w:t>. La</w:t>
      </w:r>
      <w:r w:rsidR="00433652">
        <w:rPr>
          <w:lang w:val="fr-FR"/>
        </w:rPr>
        <w:t xml:space="preserve"> loi 12 stipule </w:t>
      </w:r>
      <w:r w:rsidR="00EC7DA4">
        <w:rPr>
          <w:lang w:val="fr-FR"/>
        </w:rPr>
        <w:t xml:space="preserve">en effet </w:t>
      </w:r>
      <w:r w:rsidR="00433652">
        <w:rPr>
          <w:lang w:val="fr-FR"/>
        </w:rPr>
        <w:t xml:space="preserve">que </w:t>
      </w:r>
      <w:r w:rsidRPr="00265400">
        <w:rPr>
          <w:lang w:val="fr-FR"/>
        </w:rPr>
        <w:t xml:space="preserve">toute manifestation </w:t>
      </w:r>
      <w:r w:rsidR="00F31211">
        <w:rPr>
          <w:lang w:val="fr-FR"/>
        </w:rPr>
        <w:t xml:space="preserve">de plus de 50 personnes </w:t>
      </w:r>
      <w:r w:rsidRPr="00265400">
        <w:rPr>
          <w:lang w:val="fr-FR"/>
        </w:rPr>
        <w:t>doit être a</w:t>
      </w:r>
      <w:r w:rsidR="00F31211">
        <w:rPr>
          <w:lang w:val="fr-FR"/>
        </w:rPr>
        <w:t>nnoncée huit heures à l’avance</w:t>
      </w:r>
      <w:r w:rsidR="00433652">
        <w:rPr>
          <w:lang w:val="fr-FR"/>
        </w:rPr>
        <w:t> :</w:t>
      </w:r>
    </w:p>
    <w:p w:rsidR="00834D5B" w:rsidRDefault="00834D5B" w:rsidP="00F31211">
      <w:pPr>
        <w:ind w:left="709" w:right="860"/>
        <w:rPr>
          <w:lang w:val="fr-FR"/>
        </w:rPr>
      </w:pPr>
      <w:r w:rsidRPr="00265400">
        <w:rPr>
          <w:lang w:val="fr-FR"/>
        </w:rPr>
        <w:t>Lorsqu'il juge que le lieu ou l'itinéraire projeté comporte des risques graves pour la sécurité publique, le corps de police desservant le territoire où la manifestation doit avoir lieu peut, avant sa tenue, exiger un changement de lieu ou la modification de l'itinéraire projeté afin de maintenir la paix, l'ordre et la sécurité publique. L'organisateur doit alors soumettre au corps de police, dans le délai convenu avec celui-ci, le nouveau lieu ou le nouvel itinérair</w:t>
      </w:r>
      <w:r w:rsidR="009A6551">
        <w:rPr>
          <w:lang w:val="fr-FR"/>
        </w:rPr>
        <w:t>e et en aviser les participants</w:t>
      </w:r>
      <w:r w:rsidR="00F31211">
        <w:rPr>
          <w:rStyle w:val="Appelnotedebasdep"/>
          <w:lang w:val="fr-FR"/>
        </w:rPr>
        <w:footnoteReference w:id="16"/>
      </w:r>
      <w:r w:rsidR="009A6551">
        <w:rPr>
          <w:lang w:val="fr-FR"/>
        </w:rPr>
        <w:t>.</w:t>
      </w:r>
    </w:p>
    <w:p w:rsidR="00834D5B" w:rsidRPr="00265400" w:rsidRDefault="00834D5B" w:rsidP="009A6551">
      <w:pPr>
        <w:spacing w:after="120"/>
      </w:pPr>
      <w:r w:rsidRPr="00265400">
        <w:t xml:space="preserve">Outre des dispositions qui </w:t>
      </w:r>
      <w:r w:rsidR="00433652">
        <w:t>restreignent considérablement</w:t>
      </w:r>
      <w:r w:rsidRPr="00265400">
        <w:t xml:space="preserve"> le droit à la manifestation, la loi 78 comporte une série de </w:t>
      </w:r>
      <w:r w:rsidR="00433652">
        <w:t>contraintes</w:t>
      </w:r>
      <w:r w:rsidRPr="00265400">
        <w:t>.</w:t>
      </w:r>
      <w:r w:rsidR="002E7D92">
        <w:t xml:space="preserve"> </w:t>
      </w:r>
      <w:r w:rsidR="00EC7DA4">
        <w:t>Parmi celles-ci</w:t>
      </w:r>
      <w:r w:rsidRPr="00265400">
        <w:t>, elle :</w:t>
      </w:r>
    </w:p>
    <w:p w:rsidR="00834D5B" w:rsidRPr="00265400" w:rsidRDefault="00834D5B" w:rsidP="00F45C82">
      <w:pPr>
        <w:pStyle w:val="Paragraphedeliste"/>
        <w:numPr>
          <w:ilvl w:val="0"/>
          <w:numId w:val="3"/>
        </w:numPr>
      </w:pPr>
      <w:r w:rsidRPr="00265400">
        <w:t xml:space="preserve">oblige les directions des établissements (article 3) et les </w:t>
      </w:r>
      <w:r w:rsidR="00433652">
        <w:t xml:space="preserve">enseignantes et les </w:t>
      </w:r>
      <w:r w:rsidRPr="00265400">
        <w:t>enseignants (articles 10 et 11) à dispenser l'enseignement;</w:t>
      </w:r>
    </w:p>
    <w:p w:rsidR="00834D5B" w:rsidRPr="00265400" w:rsidRDefault="00F31211" w:rsidP="00F45C82">
      <w:pPr>
        <w:pStyle w:val="Paragraphedeliste"/>
        <w:numPr>
          <w:ilvl w:val="0"/>
          <w:numId w:val="3"/>
        </w:numPr>
      </w:pPr>
      <w:r>
        <w:t>interdit</w:t>
      </w:r>
      <w:r w:rsidR="00834D5B" w:rsidRPr="00265400">
        <w:t xml:space="preserve"> aux syndicats, à leurs </w:t>
      </w:r>
      <w:r w:rsidR="00433652">
        <w:t>dirigeantes et à leur</w:t>
      </w:r>
      <w:r w:rsidR="00377A38">
        <w:t>s</w:t>
      </w:r>
      <w:r w:rsidR="00433652">
        <w:t xml:space="preserve"> </w:t>
      </w:r>
      <w:r w:rsidR="00834D5B" w:rsidRPr="00265400">
        <w:t xml:space="preserve">dirigeants </w:t>
      </w:r>
      <w:r w:rsidR="00433652">
        <w:t>ainsi</w:t>
      </w:r>
      <w:r w:rsidR="00834D5B" w:rsidRPr="00265400">
        <w:t xml:space="preserve"> </w:t>
      </w:r>
      <w:r w:rsidR="00433652">
        <w:t>qu’</w:t>
      </w:r>
      <w:r w:rsidR="00834D5B" w:rsidRPr="00265400">
        <w:t>à leurs membres (article 12) de participer à une action concertée visant à empêcher le personnel d'un établissement d'enseignement d'accomplir son travail;</w:t>
      </w:r>
    </w:p>
    <w:p w:rsidR="00834D5B" w:rsidRPr="00265400" w:rsidRDefault="00F31211" w:rsidP="00F45C82">
      <w:pPr>
        <w:pStyle w:val="Paragraphedeliste"/>
        <w:numPr>
          <w:ilvl w:val="0"/>
          <w:numId w:val="3"/>
        </w:numPr>
      </w:pPr>
      <w:r>
        <w:t>interdi</w:t>
      </w:r>
      <w:r w:rsidR="00834D5B" w:rsidRPr="00265400">
        <w:t>t</w:t>
      </w:r>
      <w:r>
        <w:t xml:space="preserve"> </w:t>
      </w:r>
      <w:r w:rsidR="00834D5B" w:rsidRPr="00265400">
        <w:t>à quiconque (articles 13 et 14) d'entraver l'accès à l'enseignement et de manifester à moins de 50 m d'un établissement d'enseignement;</w:t>
      </w:r>
    </w:p>
    <w:p w:rsidR="00834D5B" w:rsidRPr="00265400" w:rsidRDefault="00834D5B" w:rsidP="00F45C82">
      <w:pPr>
        <w:pStyle w:val="Paragraphedeliste"/>
        <w:numPr>
          <w:ilvl w:val="0"/>
          <w:numId w:val="3"/>
        </w:numPr>
      </w:pPr>
      <w:r w:rsidRPr="00265400">
        <w:t>oblige les syndicats et les associations étudiantes (article 15) à « prendre les moyens » pour que leurs membres respectent ces articles.</w:t>
      </w:r>
    </w:p>
    <w:p w:rsidR="00834D5B" w:rsidRDefault="00834D5B" w:rsidP="009A6551">
      <w:pPr>
        <w:spacing w:after="120"/>
      </w:pPr>
      <w:r w:rsidRPr="00265400">
        <w:t xml:space="preserve">La loi </w:t>
      </w:r>
      <w:r w:rsidR="00433652">
        <w:t>s’</w:t>
      </w:r>
      <w:r w:rsidRPr="00265400">
        <w:t>accompagne d’une série de lourdes amendes qui s’inscrivent dans la logique des autres lois et ce pour qui</w:t>
      </w:r>
      <w:r w:rsidR="00433652">
        <w:t>conque</w:t>
      </w:r>
      <w:r w:rsidRPr="00265400">
        <w:t xml:space="preserve"> ne la respecterait pas.</w:t>
      </w:r>
      <w:r w:rsidR="002E7D92">
        <w:t xml:space="preserve"> </w:t>
      </w:r>
      <w:r w:rsidRPr="00265400">
        <w:t>Les amendes varient de 1000</w:t>
      </w:r>
      <w:r w:rsidR="00F31211">
        <w:t> $</w:t>
      </w:r>
      <w:r w:rsidRPr="00265400">
        <w:t xml:space="preserve"> </w:t>
      </w:r>
      <w:r w:rsidR="007C23D6" w:rsidRPr="00265400">
        <w:t>à 5000</w:t>
      </w:r>
      <w:r w:rsidR="00F31211">
        <w:t> $</w:t>
      </w:r>
      <w:r w:rsidR="007C23D6" w:rsidRPr="00265400">
        <w:t xml:space="preserve"> </w:t>
      </w:r>
      <w:r w:rsidRPr="00265400">
        <w:t xml:space="preserve">pour les individus et de </w:t>
      </w:r>
      <w:r w:rsidR="007C23D6" w:rsidRPr="00265400">
        <w:t>25 000</w:t>
      </w:r>
      <w:r w:rsidR="00F31211">
        <w:t> $</w:t>
      </w:r>
      <w:r w:rsidR="007C23D6" w:rsidRPr="00265400">
        <w:t xml:space="preserve"> à </w:t>
      </w:r>
      <w:r w:rsidRPr="00265400">
        <w:t>125 000</w:t>
      </w:r>
      <w:r w:rsidR="00F31211">
        <w:t> $</w:t>
      </w:r>
      <w:r w:rsidRPr="00265400">
        <w:t xml:space="preserve"> pour les</w:t>
      </w:r>
      <w:r w:rsidR="002E7D92">
        <w:t xml:space="preserve"> </w:t>
      </w:r>
      <w:r w:rsidRPr="00265400">
        <w:t>groupes.</w:t>
      </w:r>
      <w:r w:rsidR="002E7D92">
        <w:t xml:space="preserve"> </w:t>
      </w:r>
      <w:r w:rsidRPr="00265400">
        <w:t>Fait à noter, la loi prévoit que</w:t>
      </w:r>
      <w:r w:rsidR="002E7D92">
        <w:t xml:space="preserve"> </w:t>
      </w:r>
      <w:r w:rsidRPr="00265400">
        <w:t>les montants de ces amendes sont doublés en cas de récidive.</w:t>
      </w:r>
      <w:r w:rsidR="002E7D92">
        <w:t xml:space="preserve"> </w:t>
      </w:r>
      <w:r w:rsidR="00433652">
        <w:t xml:space="preserve">Reprenant le </w:t>
      </w:r>
      <w:r w:rsidRPr="00265400">
        <w:t xml:space="preserve">modèle </w:t>
      </w:r>
      <w:r w:rsidR="00433652">
        <w:t>d’</w:t>
      </w:r>
      <w:r w:rsidRPr="00265400">
        <w:t>autres lois</w:t>
      </w:r>
      <w:r w:rsidR="00433652">
        <w:t xml:space="preserve"> spéciales</w:t>
      </w:r>
      <w:r w:rsidRPr="00265400">
        <w:t>, elle prévoit que les cotisations pour les associations étudiantes ne seront plus perçues par les établissements d’enseignement</w:t>
      </w:r>
      <w:r w:rsidR="00F31211">
        <w:t>.</w:t>
      </w:r>
    </w:p>
    <w:p w:rsidR="00F31211" w:rsidRDefault="00F31211" w:rsidP="009A6551">
      <w:pPr>
        <w:spacing w:after="120"/>
      </w:pPr>
      <w:r>
        <w:t>Comme cette loi ne s’appliqu</w:t>
      </w:r>
      <w:r w:rsidR="00433652">
        <w:t>e</w:t>
      </w:r>
      <w:r>
        <w:t xml:space="preserve"> pas directement à des groupes de salariées</w:t>
      </w:r>
      <w:r w:rsidR="00433652">
        <w:t xml:space="preserve"> et de salariés</w:t>
      </w:r>
      <w:r>
        <w:t xml:space="preserve">, </w:t>
      </w:r>
      <w:r w:rsidR="00433652">
        <w:t xml:space="preserve">on doit l’analyser avec prudence </w:t>
      </w:r>
      <w:r w:rsidR="005462EF">
        <w:t>si on souhaite la mettre en perspective avec une</w:t>
      </w:r>
      <w:r>
        <w:t xml:space="preserve"> loi spéciale imposée dans le contexte d’une négociation de conventions collectives. </w:t>
      </w:r>
      <w:r w:rsidR="005462EF">
        <w:t>Les réactions face à la loi 12 fournissent cependant</w:t>
      </w:r>
      <w:r>
        <w:t xml:space="preserve"> plusieurs </w:t>
      </w:r>
      <w:r w:rsidR="005462EF">
        <w:t>exemples</w:t>
      </w:r>
      <w:r>
        <w:t xml:space="preserve"> inspirants.</w:t>
      </w:r>
    </w:p>
    <w:p w:rsidR="00834D5B" w:rsidRPr="00265400" w:rsidRDefault="00F31211" w:rsidP="009A6551">
      <w:pPr>
        <w:spacing w:after="120"/>
      </w:pPr>
      <w:r>
        <w:t xml:space="preserve">Notons d’abord que la loi </w:t>
      </w:r>
      <w:r w:rsidR="005462EF">
        <w:t>est</w:t>
      </w:r>
      <w:r>
        <w:t xml:space="preserve"> dénoncée par plusieurs organisations, tant au Québec qu’à l’international. </w:t>
      </w:r>
      <w:r w:rsidR="00E22B2E">
        <w:t>Au-</w:t>
      </w:r>
      <w:r w:rsidR="00FA521F">
        <w:t xml:space="preserve">delà de ces dénonciations, </w:t>
      </w:r>
      <w:r w:rsidR="005462EF">
        <w:t xml:space="preserve">ce sont d’abord </w:t>
      </w:r>
      <w:r w:rsidR="00FA521F">
        <w:t xml:space="preserve">les étudiantes et les étudiants ainsi que plusieurs groupes de la société civile québécoise </w:t>
      </w:r>
      <w:r w:rsidR="005462EF">
        <w:t xml:space="preserve">qui </w:t>
      </w:r>
      <w:r w:rsidR="00FA521F">
        <w:t xml:space="preserve">ont investi l’espace public pour continuer de manifester malgré </w:t>
      </w:r>
      <w:r w:rsidR="005462EF">
        <w:t>la</w:t>
      </w:r>
      <w:r w:rsidR="00FA521F">
        <w:t xml:space="preserve"> loi spéciale : </w:t>
      </w:r>
    </w:p>
    <w:p w:rsidR="007C23D6" w:rsidRPr="00265400" w:rsidRDefault="009A6551" w:rsidP="00F45C82">
      <w:pPr>
        <w:pStyle w:val="Paragraphedeliste"/>
        <w:numPr>
          <w:ilvl w:val="0"/>
          <w:numId w:val="7"/>
        </w:numPr>
      </w:pPr>
      <w:r>
        <w:t>l</w:t>
      </w:r>
      <w:r w:rsidR="00FA521F">
        <w:t>es manifestations se poursuiv</w:t>
      </w:r>
      <w:r w:rsidR="005462EF">
        <w:t>ent</w:t>
      </w:r>
      <w:r w:rsidR="007C23D6" w:rsidRPr="00265400">
        <w:t xml:space="preserve">, notamment </w:t>
      </w:r>
      <w:r w:rsidR="00FA521F">
        <w:t>l</w:t>
      </w:r>
      <w:r w:rsidR="007C23D6" w:rsidRPr="00265400">
        <w:t>es manifestations de nuit</w:t>
      </w:r>
      <w:r>
        <w:t>;</w:t>
      </w:r>
    </w:p>
    <w:p w:rsidR="00FA521F" w:rsidRPr="00265400" w:rsidRDefault="009A6551" w:rsidP="00FA521F">
      <w:pPr>
        <w:pStyle w:val="Paragraphedeliste"/>
        <w:numPr>
          <w:ilvl w:val="0"/>
          <w:numId w:val="7"/>
        </w:numPr>
      </w:pPr>
      <w:r>
        <w:t>l</w:t>
      </w:r>
      <w:r w:rsidR="00FA521F" w:rsidRPr="00265400">
        <w:rPr>
          <w:lang w:val="fr-FR"/>
        </w:rPr>
        <w:t>e mouvement social des casseroles</w:t>
      </w:r>
      <w:r w:rsidR="005462EF">
        <w:rPr>
          <w:lang w:val="fr-FR"/>
        </w:rPr>
        <w:t>, qui essaime</w:t>
      </w:r>
      <w:r w:rsidR="00FA521F" w:rsidRPr="00265400">
        <w:rPr>
          <w:lang w:val="fr-FR"/>
        </w:rPr>
        <w:t xml:space="preserve"> partout au Québec</w:t>
      </w:r>
      <w:r w:rsidR="00FA521F">
        <w:rPr>
          <w:lang w:val="fr-FR"/>
        </w:rPr>
        <w:t xml:space="preserve">, </w:t>
      </w:r>
      <w:r w:rsidR="005462EF">
        <w:rPr>
          <w:lang w:val="fr-FR"/>
        </w:rPr>
        <w:t>mène</w:t>
      </w:r>
      <w:r w:rsidR="00FA521F">
        <w:rPr>
          <w:lang w:val="fr-FR"/>
        </w:rPr>
        <w:t xml:space="preserve"> à plusieurs manifestations illégales, qui n</w:t>
      </w:r>
      <w:r w:rsidR="005462EF">
        <w:rPr>
          <w:lang w:val="fr-FR"/>
        </w:rPr>
        <w:t>e sont pas</w:t>
      </w:r>
      <w:r w:rsidR="00FA521F">
        <w:rPr>
          <w:lang w:val="fr-FR"/>
        </w:rPr>
        <w:t xml:space="preserve"> réprimées par la police</w:t>
      </w:r>
      <w:r w:rsidR="00E22B2E">
        <w:rPr>
          <w:lang w:val="fr-FR"/>
        </w:rPr>
        <w:t>, contrairement à plusieurs autres manifestations</w:t>
      </w:r>
      <w:r>
        <w:rPr>
          <w:lang w:val="fr-FR"/>
        </w:rPr>
        <w:t> ;</w:t>
      </w:r>
    </w:p>
    <w:p w:rsidR="00FA521F" w:rsidRPr="00265400" w:rsidRDefault="009A6551" w:rsidP="00FA521F">
      <w:pPr>
        <w:pStyle w:val="Paragraphedeliste"/>
        <w:numPr>
          <w:ilvl w:val="0"/>
          <w:numId w:val="7"/>
        </w:numPr>
      </w:pPr>
      <w:r>
        <w:t>d</w:t>
      </w:r>
      <w:r w:rsidR="00FA521F">
        <w:t>es c</w:t>
      </w:r>
      <w:r w:rsidR="00FA521F" w:rsidRPr="00265400">
        <w:t>ontestations juridiques</w:t>
      </w:r>
      <w:r>
        <w:t xml:space="preserve"> sont entreprises;</w:t>
      </w:r>
    </w:p>
    <w:p w:rsidR="00834D5B" w:rsidRPr="00265400" w:rsidRDefault="009A6551" w:rsidP="00F45C82">
      <w:pPr>
        <w:pStyle w:val="Paragraphedeliste"/>
        <w:numPr>
          <w:ilvl w:val="0"/>
          <w:numId w:val="7"/>
        </w:numPr>
      </w:pPr>
      <w:r>
        <w:t>l</w:t>
      </w:r>
      <w:r w:rsidR="005462EF">
        <w:t>e parti Québec solidaire</w:t>
      </w:r>
      <w:r w:rsidR="00834D5B" w:rsidRPr="00265400">
        <w:t xml:space="preserve"> </w:t>
      </w:r>
      <w:r w:rsidR="005462EF">
        <w:t xml:space="preserve">lance la </w:t>
      </w:r>
      <w:r w:rsidR="00834D5B" w:rsidRPr="00265400">
        <w:t xml:space="preserve">campagne « Je désobéis à la loi » </w:t>
      </w:r>
      <w:r w:rsidR="005462EF">
        <w:t>dans le but de</w:t>
      </w:r>
      <w:r w:rsidR="00834D5B" w:rsidRPr="00265400">
        <w:t xml:space="preserve"> créer un mouvement de désobéissance pacifique</w:t>
      </w:r>
      <w:r>
        <w:t>;</w:t>
      </w:r>
    </w:p>
    <w:p w:rsidR="00834D5B" w:rsidRPr="00265400" w:rsidRDefault="009A6551" w:rsidP="00F45C82">
      <w:pPr>
        <w:pStyle w:val="Paragraphedeliste"/>
        <w:numPr>
          <w:ilvl w:val="0"/>
          <w:numId w:val="7"/>
        </w:numPr>
      </w:pPr>
      <w:r>
        <w:t>l</w:t>
      </w:r>
      <w:r w:rsidR="005462EF">
        <w:rPr>
          <w:lang w:val="fr-FR"/>
        </w:rPr>
        <w:t xml:space="preserve">e collectif </w:t>
      </w:r>
      <w:r w:rsidR="005462EF" w:rsidRPr="00414EFF">
        <w:rPr>
          <w:i/>
          <w:lang w:val="fr-FR"/>
        </w:rPr>
        <w:t>Anonymous</w:t>
      </w:r>
      <w:r w:rsidR="005462EF">
        <w:rPr>
          <w:lang w:val="fr-FR"/>
        </w:rPr>
        <w:t xml:space="preserve"> lance une </w:t>
      </w:r>
      <w:r w:rsidR="00834D5B" w:rsidRPr="00265400">
        <w:rPr>
          <w:lang w:val="fr-FR"/>
        </w:rPr>
        <w:t xml:space="preserve">opération </w:t>
      </w:r>
      <w:r w:rsidR="005462EF">
        <w:rPr>
          <w:lang w:val="fr-FR"/>
        </w:rPr>
        <w:t xml:space="preserve">qui </w:t>
      </w:r>
      <w:r w:rsidR="00834D5B" w:rsidRPr="00265400">
        <w:rPr>
          <w:lang w:val="fr-FR"/>
        </w:rPr>
        <w:t>cible plusieurs sites gouvernementaux et corporatifs québécois</w:t>
      </w:r>
      <w:r>
        <w:rPr>
          <w:lang w:val="fr-FR"/>
        </w:rPr>
        <w:t> ;</w:t>
      </w:r>
    </w:p>
    <w:p w:rsidR="00FA521F" w:rsidRPr="00265400" w:rsidRDefault="005462EF" w:rsidP="00414EFF">
      <w:pPr>
        <w:pStyle w:val="Paragraphedeliste"/>
        <w:numPr>
          <w:ilvl w:val="0"/>
          <w:numId w:val="7"/>
        </w:numPr>
      </w:pPr>
      <w:r>
        <w:rPr>
          <w:lang w:val="fr-FR"/>
        </w:rPr>
        <w:t>Une</w:t>
      </w:r>
      <w:r w:rsidR="00FA521F">
        <w:rPr>
          <w:lang w:val="fr-FR"/>
        </w:rPr>
        <w:t xml:space="preserve"> c</w:t>
      </w:r>
      <w:r w:rsidR="00834D5B" w:rsidRPr="00265400">
        <w:rPr>
          <w:lang w:val="fr-FR"/>
        </w:rPr>
        <w:t xml:space="preserve">ampagne informelle d’autodénonciation </w:t>
      </w:r>
      <w:r>
        <w:rPr>
          <w:lang w:val="fr-FR"/>
        </w:rPr>
        <w:t xml:space="preserve">est lancée </w:t>
      </w:r>
      <w:r w:rsidR="00834D5B" w:rsidRPr="00265400">
        <w:rPr>
          <w:lang w:val="fr-FR"/>
        </w:rPr>
        <w:t xml:space="preserve">lorsque plus de 50 personnes </w:t>
      </w:r>
      <w:r>
        <w:rPr>
          <w:lang w:val="fr-FR"/>
        </w:rPr>
        <w:t>se</w:t>
      </w:r>
      <w:r w:rsidR="00834D5B" w:rsidRPr="00265400">
        <w:rPr>
          <w:lang w:val="fr-FR"/>
        </w:rPr>
        <w:t xml:space="preserve"> regroup</w:t>
      </w:r>
      <w:r>
        <w:rPr>
          <w:lang w:val="fr-FR"/>
        </w:rPr>
        <w:t>ent.</w:t>
      </w:r>
    </w:p>
    <w:sectPr w:rsidR="00FA521F" w:rsidRPr="00265400" w:rsidSect="009A6551">
      <w:pgSz w:w="12240" w:h="15840"/>
      <w:pgMar w:top="1440" w:right="1083" w:bottom="1440" w:left="1083"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CA" w:rsidRDefault="003321CA" w:rsidP="00F45C82">
      <w:r>
        <w:separator/>
      </w:r>
    </w:p>
  </w:endnote>
  <w:endnote w:type="continuationSeparator" w:id="0">
    <w:p w:rsidR="003321CA" w:rsidRDefault="003321CA" w:rsidP="00F45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799"/>
      <w:gridCol w:w="4505"/>
    </w:tblGrid>
    <w:tr w:rsidR="00914F6A" w:rsidTr="008449C9">
      <w:trPr>
        <w:trHeight w:hRule="exact" w:val="115"/>
        <w:jc w:val="center"/>
      </w:trPr>
      <w:tc>
        <w:tcPr>
          <w:tcW w:w="5670" w:type="dxa"/>
          <w:shd w:val="clear" w:color="auto" w:fill="5B9BD5" w:themeFill="accent1"/>
          <w:tcMar>
            <w:top w:w="0" w:type="dxa"/>
            <w:bottom w:w="0" w:type="dxa"/>
          </w:tcMar>
        </w:tcPr>
        <w:p w:rsidR="00914F6A" w:rsidRDefault="00914F6A" w:rsidP="00850A9B">
          <w:pPr>
            <w:pStyle w:val="En-tte"/>
            <w:rPr>
              <w:caps/>
              <w:sz w:val="18"/>
            </w:rPr>
          </w:pPr>
        </w:p>
      </w:tc>
      <w:tc>
        <w:tcPr>
          <w:tcW w:w="4404" w:type="dxa"/>
          <w:shd w:val="clear" w:color="auto" w:fill="5B9BD5" w:themeFill="accent1"/>
          <w:tcMar>
            <w:top w:w="0" w:type="dxa"/>
            <w:bottom w:w="0" w:type="dxa"/>
          </w:tcMar>
        </w:tcPr>
        <w:p w:rsidR="00914F6A" w:rsidRDefault="00914F6A" w:rsidP="00850A9B">
          <w:pPr>
            <w:pStyle w:val="En-tte"/>
            <w:jc w:val="right"/>
            <w:rPr>
              <w:caps/>
              <w:sz w:val="18"/>
            </w:rPr>
          </w:pPr>
        </w:p>
      </w:tc>
    </w:tr>
    <w:tr w:rsidR="00914F6A" w:rsidTr="008449C9">
      <w:trPr>
        <w:jc w:val="center"/>
      </w:trPr>
      <w:sdt>
        <w:sdtPr>
          <w:rPr>
            <w:rFonts w:ascii="Century Gothic" w:hAnsi="Century Gothic"/>
            <w:caps/>
            <w:color w:val="808080" w:themeColor="background1" w:themeShade="80"/>
            <w:sz w:val="18"/>
            <w:szCs w:val="18"/>
          </w:rPr>
          <w:alias w:val="Auteur"/>
          <w:tag w:val=""/>
          <w:id w:val="1746137253"/>
          <w:dataBinding w:prefixMappings="xmlns:ns0='http://purl.org/dc/elements/1.1/' xmlns:ns1='http://schemas.openxmlformats.org/package/2006/metadata/core-properties' " w:xpath="/ns1:coreProperties[1]/ns0:creator[1]" w:storeItemID="{6C3C8BC8-F283-45AE-878A-BAB7291924A1}"/>
          <w:text/>
        </w:sdtPr>
        <w:sdtContent>
          <w:tc>
            <w:tcPr>
              <w:tcW w:w="5670" w:type="dxa"/>
              <w:shd w:val="clear" w:color="auto" w:fill="auto"/>
              <w:vAlign w:val="center"/>
            </w:tcPr>
            <w:p w:rsidR="00914F6A" w:rsidRDefault="00914F6A" w:rsidP="00850A9B">
              <w:pPr>
                <w:pStyle w:val="Pieddepage"/>
                <w:rPr>
                  <w:caps/>
                  <w:color w:val="808080" w:themeColor="background1" w:themeShade="80"/>
                  <w:sz w:val="18"/>
                  <w:szCs w:val="18"/>
                </w:rPr>
              </w:pPr>
              <w:r>
                <w:rPr>
                  <w:rFonts w:ascii="Century Gothic" w:hAnsi="Century Gothic"/>
                  <w:caps/>
                  <w:color w:val="808080" w:themeColor="background1" w:themeShade="80"/>
                  <w:sz w:val="18"/>
                  <w:szCs w:val="18"/>
                </w:rPr>
                <w:t>organisation de la résistance à une éventuelle loi spéciale</w:t>
              </w:r>
            </w:p>
          </w:tc>
        </w:sdtContent>
      </w:sdt>
      <w:tc>
        <w:tcPr>
          <w:tcW w:w="4404" w:type="dxa"/>
          <w:shd w:val="clear" w:color="auto" w:fill="auto"/>
          <w:vAlign w:val="center"/>
        </w:tcPr>
        <w:p w:rsidR="00914F6A" w:rsidRDefault="00A97376" w:rsidP="00850A9B">
          <w:pPr>
            <w:pStyle w:val="Pieddepage"/>
            <w:jc w:val="right"/>
            <w:rPr>
              <w:caps/>
              <w:color w:val="808080" w:themeColor="background1" w:themeShade="80"/>
              <w:sz w:val="18"/>
              <w:szCs w:val="18"/>
            </w:rPr>
          </w:pPr>
          <w:r>
            <w:rPr>
              <w:caps/>
              <w:color w:val="808080" w:themeColor="background1" w:themeShade="80"/>
              <w:sz w:val="18"/>
              <w:szCs w:val="18"/>
            </w:rPr>
            <w:fldChar w:fldCharType="begin"/>
          </w:r>
          <w:r w:rsidR="00914F6A">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14F6A" w:rsidRPr="00D92441">
            <w:rPr>
              <w:caps/>
              <w:noProof/>
              <w:color w:val="808080" w:themeColor="background1" w:themeShade="80"/>
              <w:sz w:val="18"/>
              <w:szCs w:val="18"/>
              <w:lang w:val="fr-FR"/>
            </w:rPr>
            <w:t>2</w:t>
          </w:r>
          <w:r>
            <w:rPr>
              <w:caps/>
              <w:color w:val="808080" w:themeColor="background1" w:themeShade="80"/>
              <w:sz w:val="18"/>
              <w:szCs w:val="18"/>
            </w:rPr>
            <w:fldChar w:fldCharType="end"/>
          </w:r>
        </w:p>
      </w:tc>
    </w:tr>
  </w:tbl>
  <w:p w:rsidR="00914F6A" w:rsidRDefault="00914F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60906"/>
      <w:docPartObj>
        <w:docPartGallery w:val="Page Numbers (Bottom of Page)"/>
        <w:docPartUnique/>
      </w:docPartObj>
    </w:sdtPr>
    <w:sdtContent>
      <w:p w:rsidR="00914F6A" w:rsidRDefault="00A97376">
        <w:pPr>
          <w:pStyle w:val="Pieddepage"/>
          <w:jc w:val="center"/>
        </w:pPr>
        <w:r>
          <w:rPr>
            <w:noProof/>
            <w:lang w:eastAsia="fr-CA"/>
          </w:rPr>
        </w:r>
        <w:r>
          <w:rPr>
            <w:noProof/>
            <w:lang w:eastAsia="fr-CA"/>
          </w:rPr>
          <w:pict>
            <v:group id="Groupe 14" o:spid="_x0000_s10248"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10253"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v:textbox inset="0,0,0,0">
                  <w:txbxContent>
                    <w:p w:rsidR="00914F6A" w:rsidRPr="005D0B2E" w:rsidRDefault="00A97376">
                      <w:pPr>
                        <w:jc w:val="center"/>
                        <w:rPr>
                          <w:rFonts w:ascii="Century Gothic" w:hAnsi="Century Gothic"/>
                          <w:szCs w:val="18"/>
                        </w:rPr>
                      </w:pPr>
                      <w:r w:rsidRPr="00A97376">
                        <w:rPr>
                          <w:rFonts w:ascii="Century Gothic" w:hAnsi="Century Gothic"/>
                        </w:rPr>
                        <w:fldChar w:fldCharType="begin"/>
                      </w:r>
                      <w:r w:rsidR="00914F6A" w:rsidRPr="005D0B2E">
                        <w:rPr>
                          <w:rFonts w:ascii="Century Gothic" w:hAnsi="Century Gothic"/>
                        </w:rPr>
                        <w:instrText>PAGE    \* MERGEFORMAT</w:instrText>
                      </w:r>
                      <w:r w:rsidRPr="00A97376">
                        <w:rPr>
                          <w:rFonts w:ascii="Century Gothic" w:hAnsi="Century Gothic"/>
                        </w:rPr>
                        <w:fldChar w:fldCharType="separate"/>
                      </w:r>
                      <w:r w:rsidR="008D542B" w:rsidRPr="008D542B">
                        <w:rPr>
                          <w:rFonts w:ascii="Century Gothic" w:hAnsi="Century Gothic"/>
                          <w:i/>
                          <w:iCs/>
                          <w:noProof/>
                          <w:sz w:val="18"/>
                          <w:szCs w:val="18"/>
                          <w:lang w:val="fr-FR"/>
                        </w:rPr>
                        <w:t>2</w:t>
                      </w:r>
                      <w:r w:rsidRPr="005D0B2E">
                        <w:rPr>
                          <w:rFonts w:ascii="Century Gothic" w:hAnsi="Century Gothic"/>
                          <w:i/>
                          <w:iCs/>
                          <w:sz w:val="18"/>
                          <w:szCs w:val="18"/>
                        </w:rPr>
                        <w:fldChar w:fldCharType="end"/>
                      </w:r>
                    </w:p>
                  </w:txbxContent>
                </v:textbox>
              </v:shape>
              <v:group id="Group 64" o:spid="_x0000_s1024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65" o:spid="_x0000_s10252"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oval id="Oval 66" o:spid="_x0000_s10251"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TpMMA&#10;AADbAAAADwAAAGRycy9kb3ducmV2LnhtbESPMW/CQAyF90r9DydXYiuXdIiqwIEAKagraTOwmZxJ&#10;InK+KHeE8O/roVI3W+/5vc/r7ex6NdEYOs8G0mUCirj2tuPGwM938f4JKkRki71nMvCkANvN68sa&#10;c+sffKKpjI2SEA45GmhjHHKtQ92Sw7D0A7FoVz86jLKOjbYjPiTc9fojSTLtsGNpaHGgQ0v1rbw7&#10;A93Rp1WxL0/hPGUHvesve19djFm8zbsVqEhz/Df/XX9Z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TpMMAAADbAAAADwAAAAAAAAAAAAAAAACYAgAAZHJzL2Rv&#10;d25yZXYueG1sUEsFBgAAAAAEAAQA9QAAAIgDAAAAAA==&#10;" fillcolor="#84a2c6" stroked="f"/>
                <v:oval id="Oval 67" o:spid="_x0000_s10250"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P7wA&#10;AADbAAAADwAAAGRycy9kb3ducmV2LnhtbERPzQ7BQBC+S7zDZiRubDkIZQkS4qo4uI3uaBvd2aa7&#10;qt7eSiRu8+X7ncWqNaVoqHaFZQWjYQSCOLW64EzB+bQbTEE4j6yxtEwK3uRgtex2Fhhr++IjNYnP&#10;RAhhF6OC3PsqltKlORl0Q1sRB+5ua4M+wDqTusZXCDelHEfRRBosODTkWNE2p/SRPI2CYm9Hl90m&#10;ObprM9nKdXnb2MtNqX6vXc9BeGr9X/xzH3SYP4P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9zY/vAAAANsAAAAPAAAAAAAAAAAAAAAAAJgCAABkcnMvZG93bnJldi54&#10;bWxQSwUGAAAAAAQABAD1AAAAgQMAAAAA&#10;" fillcolor="#84a2c6" stroked="f"/>
              </v:group>
              <w10:anchorlock/>
            </v:group>
          </w:pict>
        </w:r>
      </w:p>
    </w:sdtContent>
  </w:sdt>
  <w:p w:rsidR="00914F6A" w:rsidRPr="005D0B2E" w:rsidRDefault="00914F6A" w:rsidP="00914F6A">
    <w:pPr>
      <w:pStyle w:val="Pieddepage"/>
      <w:jc w:val="center"/>
      <w:rPr>
        <w:rFonts w:ascii="Century Gothic" w:hAnsi="Century Gothic"/>
        <w:sz w:val="18"/>
        <w:szCs w:val="18"/>
      </w:rPr>
    </w:pPr>
    <w:r>
      <w:rPr>
        <w:rFonts w:ascii="Century Gothic" w:hAnsi="Century Gothic"/>
        <w:sz w:val="18"/>
        <w:szCs w:val="18"/>
      </w:rPr>
      <w:t>o</w:t>
    </w:r>
    <w:r w:rsidRPr="005D0B2E">
      <w:rPr>
        <w:rFonts w:ascii="Century Gothic" w:hAnsi="Century Gothic"/>
        <w:sz w:val="18"/>
        <w:szCs w:val="18"/>
      </w:rPr>
      <w:t>ctobre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799"/>
      <w:gridCol w:w="4505"/>
    </w:tblGrid>
    <w:tr w:rsidR="00914F6A" w:rsidTr="008449C9">
      <w:trPr>
        <w:trHeight w:hRule="exact" w:val="115"/>
        <w:jc w:val="center"/>
      </w:trPr>
      <w:tc>
        <w:tcPr>
          <w:tcW w:w="5670" w:type="dxa"/>
          <w:shd w:val="clear" w:color="auto" w:fill="5B9BD5" w:themeFill="accent1"/>
          <w:tcMar>
            <w:top w:w="0" w:type="dxa"/>
            <w:bottom w:w="0" w:type="dxa"/>
          </w:tcMar>
        </w:tcPr>
        <w:p w:rsidR="00914F6A" w:rsidRDefault="00914F6A" w:rsidP="00F45C82">
          <w:pPr>
            <w:pStyle w:val="En-tte"/>
          </w:pPr>
        </w:p>
      </w:tc>
      <w:tc>
        <w:tcPr>
          <w:tcW w:w="4404" w:type="dxa"/>
          <w:shd w:val="clear" w:color="auto" w:fill="5B9BD5" w:themeFill="accent1"/>
          <w:tcMar>
            <w:top w:w="0" w:type="dxa"/>
            <w:bottom w:w="0" w:type="dxa"/>
          </w:tcMar>
        </w:tcPr>
        <w:p w:rsidR="00914F6A" w:rsidRDefault="00914F6A" w:rsidP="00F45C82">
          <w:pPr>
            <w:pStyle w:val="En-tte"/>
          </w:pPr>
        </w:p>
      </w:tc>
    </w:tr>
    <w:tr w:rsidR="00914F6A" w:rsidTr="008449C9">
      <w:trPr>
        <w:jc w:val="center"/>
      </w:trPr>
      <w:sdt>
        <w:sdtPr>
          <w:alias w:val="Auteur"/>
          <w:tag w:val=""/>
          <w:id w:val="-272173167"/>
          <w:dataBinding w:prefixMappings="xmlns:ns0='http://purl.org/dc/elements/1.1/' xmlns:ns1='http://schemas.openxmlformats.org/package/2006/metadata/core-properties' " w:xpath="/ns1:coreProperties[1]/ns0:creator[1]" w:storeItemID="{6C3C8BC8-F283-45AE-878A-BAB7291924A1}"/>
          <w:text/>
        </w:sdtPr>
        <w:sdtContent>
          <w:tc>
            <w:tcPr>
              <w:tcW w:w="5670" w:type="dxa"/>
              <w:shd w:val="clear" w:color="auto" w:fill="auto"/>
              <w:vAlign w:val="center"/>
            </w:tcPr>
            <w:p w:rsidR="00914F6A" w:rsidRDefault="00914F6A" w:rsidP="00F45C82">
              <w:pPr>
                <w:pStyle w:val="Pieddepage"/>
              </w:pPr>
              <w:r>
                <w:t>organisation de la résistance à une éventuelle loi spéciale</w:t>
              </w:r>
            </w:p>
          </w:tc>
        </w:sdtContent>
      </w:sdt>
      <w:tc>
        <w:tcPr>
          <w:tcW w:w="4404" w:type="dxa"/>
          <w:shd w:val="clear" w:color="auto" w:fill="auto"/>
          <w:vAlign w:val="center"/>
        </w:tcPr>
        <w:p w:rsidR="00914F6A" w:rsidRDefault="00A97376" w:rsidP="00F45C82">
          <w:pPr>
            <w:pStyle w:val="Pieddepage"/>
          </w:pPr>
          <w:r>
            <w:fldChar w:fldCharType="begin"/>
          </w:r>
          <w:r w:rsidR="00914F6A">
            <w:instrText>PAGE   \* MERGEFORMAT</w:instrText>
          </w:r>
          <w:r>
            <w:fldChar w:fldCharType="separate"/>
          </w:r>
          <w:r w:rsidR="00914F6A" w:rsidRPr="00D92441">
            <w:rPr>
              <w:noProof/>
              <w:lang w:val="fr-FR"/>
            </w:rPr>
            <w:t>2</w:t>
          </w:r>
          <w:r>
            <w:fldChar w:fldCharType="end"/>
          </w:r>
        </w:p>
      </w:tc>
    </w:tr>
  </w:tbl>
  <w:p w:rsidR="00914F6A" w:rsidRDefault="00914F6A" w:rsidP="00F45C8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20574"/>
      <w:docPartObj>
        <w:docPartGallery w:val="Page Numbers (Bottom of Page)"/>
        <w:docPartUnique/>
      </w:docPartObj>
    </w:sdtPr>
    <w:sdtContent>
      <w:p w:rsidR="00914F6A" w:rsidRDefault="00A97376" w:rsidP="009A6551">
        <w:pPr>
          <w:pStyle w:val="Pieddepage"/>
          <w:jc w:val="center"/>
        </w:pPr>
        <w:r>
          <w:rPr>
            <w:noProof/>
            <w:lang w:eastAsia="fr-CA"/>
          </w:rPr>
        </w:r>
        <w:r>
          <w:rPr>
            <w:noProof/>
            <w:lang w:eastAsia="fr-CA"/>
          </w:rPr>
          <w:pict>
            <v:group id="Groupe 1" o:spid="_x0000_s10241"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10246"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914F6A" w:rsidRPr="005D0B2E" w:rsidRDefault="00A97376" w:rsidP="009A6551">
                      <w:pPr>
                        <w:jc w:val="center"/>
                        <w:rPr>
                          <w:rFonts w:ascii="Century Gothic" w:hAnsi="Century Gothic"/>
                          <w:szCs w:val="18"/>
                        </w:rPr>
                      </w:pPr>
                      <w:r w:rsidRPr="00A97376">
                        <w:rPr>
                          <w:rFonts w:ascii="Century Gothic" w:hAnsi="Century Gothic"/>
                        </w:rPr>
                        <w:fldChar w:fldCharType="begin"/>
                      </w:r>
                      <w:r w:rsidR="00914F6A" w:rsidRPr="005D0B2E">
                        <w:rPr>
                          <w:rFonts w:ascii="Century Gothic" w:hAnsi="Century Gothic"/>
                        </w:rPr>
                        <w:instrText>PAGE    \* MERGEFORMAT</w:instrText>
                      </w:r>
                      <w:r w:rsidRPr="00A97376">
                        <w:rPr>
                          <w:rFonts w:ascii="Century Gothic" w:hAnsi="Century Gothic"/>
                        </w:rPr>
                        <w:fldChar w:fldCharType="separate"/>
                      </w:r>
                      <w:r w:rsidR="0057198E" w:rsidRPr="0057198E">
                        <w:rPr>
                          <w:rFonts w:ascii="Century Gothic" w:hAnsi="Century Gothic"/>
                          <w:i/>
                          <w:iCs/>
                          <w:noProof/>
                          <w:sz w:val="18"/>
                          <w:szCs w:val="18"/>
                          <w:lang w:val="fr-FR"/>
                        </w:rPr>
                        <w:t>2</w:t>
                      </w:r>
                      <w:r w:rsidRPr="005D0B2E">
                        <w:rPr>
                          <w:rFonts w:ascii="Century Gothic" w:hAnsi="Century Gothic"/>
                          <w:i/>
                          <w:iCs/>
                          <w:sz w:val="18"/>
                          <w:szCs w:val="18"/>
                        </w:rPr>
                        <w:fldChar w:fldCharType="end"/>
                      </w:r>
                    </w:p>
                  </w:txbxContent>
                </v:textbox>
              </v:shape>
              <v:group id="Group 64" o:spid="_x0000_s1024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45"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66" o:spid="_x0000_s10244"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243"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sdtContent>
  </w:sdt>
  <w:p w:rsidR="00914F6A" w:rsidRPr="009720DD" w:rsidRDefault="00914F6A" w:rsidP="009A6551">
    <w:pPr>
      <w:pStyle w:val="Pieddepage"/>
      <w:jc w:val="center"/>
      <w:rPr>
        <w:rFonts w:ascii="Century Gothic" w:hAnsi="Century Gothic"/>
        <w:sz w:val="16"/>
        <w:szCs w:val="16"/>
      </w:rPr>
    </w:pPr>
    <w:r w:rsidRPr="009720DD">
      <w:rPr>
        <w:rFonts w:ascii="Century Gothic" w:hAnsi="Century Gothic"/>
        <w:sz w:val="16"/>
        <w:szCs w:val="16"/>
      </w:rPr>
      <w:t>négociation 2015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6A" w:rsidRDefault="00914F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CA" w:rsidRDefault="003321CA" w:rsidP="00F45C82">
      <w:r>
        <w:separator/>
      </w:r>
    </w:p>
  </w:footnote>
  <w:footnote w:type="continuationSeparator" w:id="0">
    <w:p w:rsidR="003321CA" w:rsidRDefault="003321CA" w:rsidP="00F45C82">
      <w:r>
        <w:continuationSeparator/>
      </w:r>
    </w:p>
  </w:footnote>
  <w:footnote w:id="1">
    <w:p w:rsidR="00914F6A" w:rsidRPr="009A6551" w:rsidRDefault="00914F6A" w:rsidP="00414EFF">
      <w:pPr>
        <w:pStyle w:val="Notedebasdepage"/>
        <w:tabs>
          <w:tab w:val="left" w:pos="284"/>
        </w:tabs>
        <w:rPr>
          <w:sz w:val="18"/>
          <w:szCs w:val="18"/>
        </w:rPr>
      </w:pPr>
      <w:r w:rsidRPr="009A6551">
        <w:rPr>
          <w:rStyle w:val="Appelnotedebasdep"/>
          <w:sz w:val="18"/>
          <w:szCs w:val="18"/>
        </w:rPr>
        <w:footnoteRef/>
      </w:r>
      <w:r w:rsidRPr="009A6551">
        <w:rPr>
          <w:sz w:val="18"/>
          <w:szCs w:val="18"/>
        </w:rPr>
        <w:tab/>
        <w:t xml:space="preserve">Loi modifiant la </w:t>
      </w:r>
      <w:r w:rsidRPr="009A6551">
        <w:rPr>
          <w:i/>
          <w:sz w:val="18"/>
          <w:szCs w:val="18"/>
        </w:rPr>
        <w:t>Loi de la Régie du transport</w:t>
      </w:r>
      <w:r w:rsidRPr="009A6551">
        <w:rPr>
          <w:sz w:val="18"/>
          <w:szCs w:val="18"/>
        </w:rPr>
        <w:t>.</w:t>
      </w:r>
    </w:p>
  </w:footnote>
  <w:footnote w:id="2">
    <w:p w:rsidR="00914F6A" w:rsidRPr="009A6551" w:rsidRDefault="00914F6A" w:rsidP="00A1562D">
      <w:pPr>
        <w:pStyle w:val="Notedebasdepage"/>
        <w:tabs>
          <w:tab w:val="left" w:pos="284"/>
        </w:tabs>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 xml:space="preserve">Extraits du compte-rendu du Conseil des ministres du 26 janvier 1983 cité par Martin Robert lors d’une conférence organisée par le </w:t>
      </w:r>
      <w:r>
        <w:rPr>
          <w:sz w:val="18"/>
          <w:szCs w:val="18"/>
        </w:rPr>
        <w:tab/>
      </w:r>
      <w:r w:rsidRPr="009A6551">
        <w:rPr>
          <w:sz w:val="18"/>
          <w:szCs w:val="18"/>
        </w:rPr>
        <w:t>collectif Printemps 2015, le 2 décembre 2014.</w:t>
      </w:r>
    </w:p>
  </w:footnote>
  <w:footnote w:id="3">
    <w:p w:rsidR="00914F6A" w:rsidRPr="009A6551" w:rsidRDefault="00914F6A" w:rsidP="00A1562D">
      <w:pPr>
        <w:tabs>
          <w:tab w:val="left" w:pos="284"/>
        </w:tabs>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François DELORME et Gaston NADEAU, « Un aperçu des lois de retour au travail adoptées au Québec entre 1964 et 200 </w:t>
      </w:r>
      <w:r>
        <w:rPr>
          <w:sz w:val="18"/>
          <w:szCs w:val="18"/>
        </w:rPr>
        <w:t>»,</w:t>
      </w:r>
      <w:r w:rsidRPr="009A6551">
        <w:rPr>
          <w:sz w:val="18"/>
          <w:szCs w:val="18"/>
        </w:rPr>
        <w:tab/>
      </w:r>
      <w:r w:rsidRPr="009A6551">
        <w:rPr>
          <w:i/>
          <w:sz w:val="18"/>
          <w:szCs w:val="18"/>
        </w:rPr>
        <w:t xml:space="preserve">Relations </w:t>
      </w:r>
      <w:r>
        <w:rPr>
          <w:i/>
          <w:sz w:val="18"/>
          <w:szCs w:val="18"/>
        </w:rPr>
        <w:tab/>
      </w:r>
      <w:r w:rsidRPr="009A6551">
        <w:rPr>
          <w:i/>
          <w:sz w:val="18"/>
          <w:szCs w:val="18"/>
        </w:rPr>
        <w:t>industrielles</w:t>
      </w:r>
      <w:r w:rsidRPr="009A6551">
        <w:rPr>
          <w:sz w:val="18"/>
          <w:szCs w:val="18"/>
        </w:rPr>
        <w:t>, vol. 57, n° 4, 2002, p. 743-788.</w:t>
      </w:r>
    </w:p>
  </w:footnote>
  <w:footnote w:id="4">
    <w:p w:rsidR="00914F6A" w:rsidRPr="009A6551" w:rsidRDefault="00914F6A" w:rsidP="00414EFF">
      <w:pPr>
        <w:pStyle w:val="Notedebasdepage"/>
        <w:tabs>
          <w:tab w:val="left" w:pos="284"/>
        </w:tabs>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La FAS change de nom en 1997 et devient la FSSS-CSN</w:t>
      </w:r>
    </w:p>
  </w:footnote>
  <w:footnote w:id="5">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r>
      <w:r w:rsidRPr="009A6551">
        <w:rPr>
          <w:i/>
          <w:sz w:val="18"/>
          <w:szCs w:val="18"/>
        </w:rPr>
        <w:t>Bilan des négociations,</w:t>
      </w:r>
      <w:r w:rsidRPr="009A6551">
        <w:rPr>
          <w:sz w:val="18"/>
          <w:szCs w:val="18"/>
        </w:rPr>
        <w:t xml:space="preserve"> FNEEQ 1982-1983, p. 21.</w:t>
      </w:r>
    </w:p>
  </w:footnote>
  <w:footnote w:id="6">
    <w:p w:rsidR="00914F6A" w:rsidRPr="00414EFF" w:rsidRDefault="00914F6A" w:rsidP="009A6551">
      <w:pPr>
        <w:tabs>
          <w:tab w:val="left" w:pos="284"/>
        </w:tabs>
        <w:spacing w:line="240" w:lineRule="auto"/>
        <w:ind w:left="284" w:hanging="284"/>
        <w:jc w:val="left"/>
        <w:rPr>
          <w:sz w:val="20"/>
          <w:szCs w:val="20"/>
          <w:lang w:val="en-CA"/>
        </w:rPr>
      </w:pPr>
      <w:r w:rsidRPr="009A6551">
        <w:rPr>
          <w:rStyle w:val="Appelnotedebasdep"/>
          <w:sz w:val="18"/>
          <w:szCs w:val="18"/>
        </w:rPr>
        <w:footnoteRef/>
      </w:r>
      <w:r w:rsidRPr="009A6551">
        <w:rPr>
          <w:sz w:val="18"/>
          <w:szCs w:val="18"/>
        </w:rPr>
        <w:t xml:space="preserve"> </w:t>
      </w:r>
      <w:r w:rsidRPr="009A6551">
        <w:rPr>
          <w:sz w:val="18"/>
          <w:szCs w:val="18"/>
        </w:rPr>
        <w:tab/>
        <w:t xml:space="preserve">Chronologie de Jean-François BEGIN, «La solidarité écorchée», </w:t>
      </w:r>
      <w:r w:rsidRPr="009A6551">
        <w:rPr>
          <w:i/>
          <w:iCs/>
          <w:sz w:val="18"/>
          <w:szCs w:val="18"/>
        </w:rPr>
        <w:t xml:space="preserve">La Presse </w:t>
      </w:r>
      <w:r w:rsidRPr="009A6551">
        <w:rPr>
          <w:sz w:val="18"/>
          <w:szCs w:val="18"/>
        </w:rPr>
        <w:t xml:space="preserve">(31juillet 1999), cahier B, page 1. </w:t>
      </w:r>
      <w:r w:rsidRPr="009A6551">
        <w:rPr>
          <w:sz w:val="18"/>
          <w:szCs w:val="18"/>
          <w:lang w:val="en-CA"/>
        </w:rPr>
        <w:t xml:space="preserve">Lien web : </w:t>
      </w:r>
      <w:hyperlink r:id="rId1" w:history="1">
        <w:r w:rsidRPr="009A6551">
          <w:rPr>
            <w:rStyle w:val="Lienhypertexte"/>
            <w:sz w:val="18"/>
            <w:szCs w:val="18"/>
            <w:lang w:val="en-CA"/>
          </w:rPr>
          <w:t>http://collections.banq.qc.ca:8008/lapresse/src/cahiers/1999/07/31/02/82812_1999073102.pdf</w:t>
        </w:r>
      </w:hyperlink>
    </w:p>
  </w:footnote>
  <w:footnote w:id="7">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ab/>
        <w:t>On peut consulter cette loi à l’adresse suivante : http://www2.publicationsduquebec.gouv.qc.ca/dynamicSearch/telecharge.php?type=5&amp;file=1999C39F.PDF</w:t>
      </w:r>
    </w:p>
  </w:footnote>
  <w:footnote w:id="8">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 xml:space="preserve">Un résumé du conflit est disponible à l’adresse suivante : </w:t>
      </w:r>
      <w:hyperlink r:id="rId2" w:anchor="evenement/53/1999-greve-des-infirmieres-affiliees-a-la-fiiq" w:history="1">
        <w:r w:rsidRPr="009A6551">
          <w:rPr>
            <w:rStyle w:val="Lienhypertexte"/>
            <w:sz w:val="18"/>
            <w:szCs w:val="18"/>
          </w:rPr>
          <w:t>http://www.lignedutemps.org/#evenement/53/1999-greve-des-infirmieres-affiliees-a-la-fiiq</w:t>
        </w:r>
      </w:hyperlink>
    </w:p>
  </w:footnote>
  <w:footnote w:id="9">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http://www.bilan.usherbrooke.ca/bilan/pages/evenements/3065.html</w:t>
      </w:r>
    </w:p>
  </w:footnote>
  <w:footnote w:id="10">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http://www.pum.umontreal.ca/apqc/89_90/rouillar/rouillar.htm</w:t>
      </w:r>
    </w:p>
  </w:footnote>
  <w:footnote w:id="11">
    <w:p w:rsidR="00914F6A" w:rsidRPr="009A6551" w:rsidRDefault="00914F6A" w:rsidP="00414EFF">
      <w:pPr>
        <w:tabs>
          <w:tab w:val="left" w:pos="284"/>
        </w:tabs>
        <w:spacing w:after="0"/>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 xml:space="preserve">CCSPP, </w:t>
      </w:r>
      <w:r w:rsidRPr="009A6551">
        <w:rPr>
          <w:i/>
          <w:sz w:val="18"/>
          <w:szCs w:val="18"/>
        </w:rPr>
        <w:t>Riposte et résistance</w:t>
      </w:r>
      <w:r w:rsidRPr="009A6551">
        <w:rPr>
          <w:sz w:val="18"/>
          <w:szCs w:val="18"/>
        </w:rPr>
        <w:t xml:space="preserve">, </w:t>
      </w:r>
      <w:hyperlink r:id="rId3" w:history="1">
        <w:r w:rsidRPr="009A6551">
          <w:rPr>
            <w:rStyle w:val="Rfrenceintense"/>
            <w:sz w:val="18"/>
            <w:szCs w:val="18"/>
          </w:rPr>
          <w:t>http://archives.fsss.qc.ca/articles/Riposte.pdf</w:t>
        </w:r>
      </w:hyperlink>
    </w:p>
  </w:footnote>
  <w:footnote w:id="12">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FAC : Fédération autonome du collégial</w:t>
      </w:r>
    </w:p>
    <w:p w:rsidR="00914F6A" w:rsidRPr="009A6551" w:rsidRDefault="00914F6A" w:rsidP="00414EFF">
      <w:pPr>
        <w:pStyle w:val="Notedebasdepage"/>
        <w:tabs>
          <w:tab w:val="left" w:pos="284"/>
        </w:tabs>
        <w:ind w:left="284" w:hanging="284"/>
        <w:rPr>
          <w:sz w:val="18"/>
          <w:szCs w:val="18"/>
        </w:rPr>
      </w:pPr>
      <w:r w:rsidRPr="009A6551">
        <w:rPr>
          <w:sz w:val="18"/>
          <w:szCs w:val="18"/>
        </w:rPr>
        <w:tab/>
        <w:t>FEC : Fédération des enseignantes et enseignants de cégep</w:t>
      </w:r>
    </w:p>
  </w:footnote>
  <w:footnote w:id="13">
    <w:p w:rsidR="00914F6A" w:rsidRPr="00872C33" w:rsidRDefault="00914F6A" w:rsidP="00414EFF">
      <w:pPr>
        <w:pStyle w:val="Notedebasdepage"/>
        <w:tabs>
          <w:tab w:val="left" w:pos="284"/>
        </w:tabs>
        <w:ind w:left="284" w:hanging="284"/>
        <w:rPr>
          <w:sz w:val="18"/>
          <w:szCs w:val="18"/>
          <w:lang w:val="en-CA"/>
        </w:rPr>
      </w:pPr>
      <w:r w:rsidRPr="009A6551">
        <w:rPr>
          <w:rStyle w:val="Appelnotedebasdep"/>
          <w:sz w:val="18"/>
          <w:szCs w:val="18"/>
        </w:rPr>
        <w:footnoteRef/>
      </w:r>
      <w:r w:rsidRPr="00872C33">
        <w:rPr>
          <w:sz w:val="18"/>
          <w:szCs w:val="18"/>
          <w:lang w:val="en-CA"/>
        </w:rPr>
        <w:t xml:space="preserve"> </w:t>
      </w:r>
      <w:r w:rsidRPr="00872C33">
        <w:rPr>
          <w:sz w:val="18"/>
          <w:szCs w:val="18"/>
          <w:lang w:val="en-CA"/>
        </w:rPr>
        <w:tab/>
        <w:t xml:space="preserve">FNEEQ, </w:t>
      </w:r>
      <w:r w:rsidRPr="00872C33">
        <w:rPr>
          <w:i/>
          <w:sz w:val="18"/>
          <w:szCs w:val="18"/>
          <w:lang w:val="en-CA"/>
        </w:rPr>
        <w:t>Bilan 2005</w:t>
      </w:r>
      <w:r w:rsidRPr="00872C33">
        <w:rPr>
          <w:sz w:val="18"/>
          <w:szCs w:val="18"/>
          <w:lang w:val="en-CA"/>
        </w:rPr>
        <w:t>, p. 34.</w:t>
      </w:r>
    </w:p>
  </w:footnote>
  <w:footnote w:id="14">
    <w:p w:rsidR="00914F6A" w:rsidRPr="00872C33" w:rsidRDefault="00914F6A" w:rsidP="00414EFF">
      <w:pPr>
        <w:pStyle w:val="Notedebasdepage"/>
        <w:tabs>
          <w:tab w:val="left" w:pos="284"/>
        </w:tabs>
        <w:ind w:left="284" w:hanging="284"/>
        <w:rPr>
          <w:sz w:val="18"/>
          <w:szCs w:val="18"/>
          <w:lang w:val="en-CA"/>
        </w:rPr>
      </w:pPr>
      <w:r w:rsidRPr="009A6551">
        <w:rPr>
          <w:rStyle w:val="Appelnotedebasdep"/>
          <w:sz w:val="18"/>
          <w:szCs w:val="18"/>
        </w:rPr>
        <w:footnoteRef/>
      </w:r>
      <w:r w:rsidRPr="00872C33">
        <w:rPr>
          <w:sz w:val="18"/>
          <w:szCs w:val="18"/>
          <w:lang w:val="en-CA"/>
        </w:rPr>
        <w:t xml:space="preserve"> </w:t>
      </w:r>
      <w:r w:rsidRPr="00872C33">
        <w:rPr>
          <w:sz w:val="18"/>
          <w:szCs w:val="18"/>
          <w:lang w:val="en-CA"/>
        </w:rPr>
        <w:tab/>
      </w:r>
      <w:r w:rsidRPr="00872C33">
        <w:rPr>
          <w:i/>
          <w:sz w:val="18"/>
          <w:szCs w:val="18"/>
          <w:lang w:val="en-CA"/>
        </w:rPr>
        <w:t>Ibid.</w:t>
      </w:r>
      <w:r w:rsidRPr="00872C33">
        <w:rPr>
          <w:sz w:val="18"/>
          <w:szCs w:val="18"/>
          <w:lang w:val="en-CA"/>
        </w:rPr>
        <w:t>, p. 35.</w:t>
      </w:r>
    </w:p>
  </w:footnote>
  <w:footnote w:id="15">
    <w:p w:rsidR="00914F6A" w:rsidRPr="009A6551" w:rsidRDefault="00914F6A" w:rsidP="00414EFF">
      <w:pPr>
        <w:pStyle w:val="Notedebasdepage"/>
        <w:tabs>
          <w:tab w:val="left" w:pos="284"/>
        </w:tabs>
        <w:ind w:left="284" w:hanging="284"/>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r>
      <w:r w:rsidRPr="009A6551">
        <w:rPr>
          <w:i/>
          <w:sz w:val="18"/>
          <w:szCs w:val="18"/>
        </w:rPr>
        <w:t>Ibid.</w:t>
      </w:r>
      <w:r w:rsidRPr="009A6551">
        <w:rPr>
          <w:sz w:val="18"/>
          <w:szCs w:val="18"/>
        </w:rPr>
        <w:t>, p. 36.</w:t>
      </w:r>
    </w:p>
  </w:footnote>
  <w:footnote w:id="16">
    <w:p w:rsidR="00914F6A" w:rsidRPr="009A6551" w:rsidRDefault="00914F6A" w:rsidP="00414EFF">
      <w:pPr>
        <w:pStyle w:val="Notedebasdepage"/>
        <w:tabs>
          <w:tab w:val="left" w:pos="284"/>
        </w:tabs>
        <w:rPr>
          <w:sz w:val="18"/>
          <w:szCs w:val="18"/>
        </w:rPr>
      </w:pPr>
      <w:r w:rsidRPr="009A6551">
        <w:rPr>
          <w:rStyle w:val="Appelnotedebasdep"/>
          <w:sz w:val="18"/>
          <w:szCs w:val="18"/>
        </w:rPr>
        <w:footnoteRef/>
      </w:r>
      <w:r w:rsidRPr="009A6551">
        <w:rPr>
          <w:sz w:val="18"/>
          <w:szCs w:val="18"/>
        </w:rPr>
        <w:t xml:space="preserve"> </w:t>
      </w:r>
      <w:r w:rsidRPr="009A6551">
        <w:rPr>
          <w:sz w:val="18"/>
          <w:szCs w:val="18"/>
        </w:rPr>
        <w:tab/>
        <w:t>Article 16 du projet de loi 78 qui deviendra la loi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6A" w:rsidRPr="00D92441" w:rsidRDefault="00A97376" w:rsidP="00D92441">
    <w:pPr>
      <w:pStyle w:val="En-tte"/>
      <w:jc w:val="center"/>
      <w:rPr>
        <w:rFonts w:ascii="Century Gothic" w:hAnsi="Century Gothic"/>
        <w:color w:val="3B3838" w:themeColor="background2" w:themeShade="40"/>
      </w:rPr>
    </w:pPr>
    <w:r>
      <w:rPr>
        <w:rFonts w:ascii="Century Gothic" w:hAnsi="Century Gothic"/>
        <w:noProof/>
        <w:color w:val="3B3838" w:themeColor="background2" w:themeShade="40"/>
        <w:lang w:eastAsia="fr-CA"/>
      </w:rPr>
      <w:pict>
        <v:rect id="Rectangle 13" o:spid="_x0000_s10254" style="position:absolute;left:0;text-align:left;margin-left:0;margin-top:0;width:468.5pt;height:21.3pt;z-index:-251655168;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" o:allowoverlap="f" fillcolor="#5b9bd5 [3204]" stroked="f" strokeweight="1pt">
          <v:textbox style="mso-fit-shape-to-text:t">
            <w:txbxContent>
              <w:sdt>
                <w:sdtPr>
                  <w:rPr>
                    <w:rFonts w:ascii="Century Gothic" w:hAnsi="Century Gothic"/>
                    <w:b/>
                    <w:color w:val="FFFFFF" w:themeColor="background1"/>
                    <w:sz w:val="18"/>
                    <w:szCs w:val="18"/>
                  </w:rPr>
                  <w:alias w:val="Titre"/>
                  <w:tag w:val=""/>
                  <w:id w:val="-245046036"/>
                  <w:dataBinding w:prefixMappings="xmlns:ns0='http://purl.org/dc/elements/1.1/' xmlns:ns1='http://schemas.openxmlformats.org/package/2006/metadata/core-properties' " w:xpath="/ns1:coreProperties[1]/ns0:title[1]" w:storeItemID="{6C3C8BC8-F283-45AE-878A-BAB7291924A1}"/>
                  <w:text/>
                </w:sdtPr>
                <w:sdtContent>
                  <w:p w:rsidR="00914F6A" w:rsidRPr="00D92441" w:rsidRDefault="00914F6A">
                    <w:pPr>
                      <w:pStyle w:val="En-tte"/>
                      <w:jc w:val="center"/>
                      <w:rPr>
                        <w:b/>
                        <w:caps/>
                        <w:color w:val="FFFFFF" w:themeColor="background1"/>
                      </w:rPr>
                    </w:pPr>
                    <w:r>
                      <w:rPr>
                        <w:rFonts w:ascii="Century Gothic" w:hAnsi="Century Gothic"/>
                        <w:b/>
                        <w:color w:val="FFFFFF" w:themeColor="background1"/>
                        <w:sz w:val="18"/>
                        <w:szCs w:val="18"/>
                      </w:rPr>
                      <w:t>Historique des lois spéciales</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6A" w:rsidRDefault="00914F6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6A" w:rsidRPr="009A6551" w:rsidRDefault="00A97376" w:rsidP="00F45C82">
    <w:pPr>
      <w:pStyle w:val="En-tte"/>
      <w:rPr>
        <w:sz w:val="18"/>
        <w:szCs w:val="18"/>
      </w:rPr>
    </w:pPr>
    <w:r>
      <w:rPr>
        <w:noProof/>
        <w:sz w:val="18"/>
        <w:szCs w:val="18"/>
        <w:lang w:eastAsia="fr-CA"/>
      </w:rPr>
      <w:pict>
        <v:rect id="Rectangle 197" o:spid="_x0000_s10247" style="position:absolute;left:0;text-align:left;margin-left:0;margin-top:0;width:468.5pt;height:21.3pt;z-index:-251657216;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rMlw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" o:allowoverlap="f" fillcolor="#5b9bd5 [3204]" stroked="f" strokeweight="1pt">
          <v:textbox style="mso-fit-shape-to-text:t">
            <w:txbxContent>
              <w:sdt>
                <w:sdtPr>
                  <w:rPr>
                    <w:rFonts w:ascii="Century Gothic" w:hAnsi="Century Gothic"/>
                    <w:b/>
                    <w:sz w:val="20"/>
                    <w:szCs w:val="20"/>
                  </w:rPr>
                  <w:alias w:val="Titre"/>
                  <w:tag w:val=""/>
                  <w:id w:val="-459955461"/>
                  <w:dataBinding w:prefixMappings="xmlns:ns0='http://purl.org/dc/elements/1.1/' xmlns:ns1='http://schemas.openxmlformats.org/package/2006/metadata/core-properties' " w:xpath="/ns1:coreProperties[1]/ns0:title[1]" w:storeItemID="{6C3C8BC8-F283-45AE-878A-BAB7291924A1}"/>
                  <w:text/>
                </w:sdtPr>
                <w:sdtContent>
                  <w:p w:rsidR="00914F6A" w:rsidRPr="009A6551" w:rsidRDefault="00914F6A" w:rsidP="00414EFF">
                    <w:pPr>
                      <w:pStyle w:val="En-tte"/>
                      <w:jc w:val="center"/>
                      <w:rPr>
                        <w:rFonts w:ascii="Century Gothic" w:hAnsi="Century Gothic"/>
                        <w:b/>
                        <w:caps/>
                        <w:sz w:val="20"/>
                        <w:szCs w:val="20"/>
                      </w:rPr>
                    </w:pPr>
                    <w:r w:rsidRPr="009A6551">
                      <w:rPr>
                        <w:rFonts w:ascii="Century Gothic" w:hAnsi="Century Gothic"/>
                        <w:b/>
                        <w:sz w:val="20"/>
                        <w:szCs w:val="20"/>
                      </w:rPr>
                      <w:t>Historique des lois spéciales</w:t>
                    </w:r>
                  </w:p>
                </w:sdtContent>
              </w:sdt>
            </w:txbxContent>
          </v:textbox>
          <w10:wrap type="square"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6A" w:rsidRDefault="00914F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DB0"/>
    <w:multiLevelType w:val="hybridMultilevel"/>
    <w:tmpl w:val="A8EE5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6A6762"/>
    <w:multiLevelType w:val="hybridMultilevel"/>
    <w:tmpl w:val="2E64297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D9A59FC"/>
    <w:multiLevelType w:val="hybridMultilevel"/>
    <w:tmpl w:val="10F4E698"/>
    <w:lvl w:ilvl="0" w:tplc="3EE4332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2A070AC"/>
    <w:multiLevelType w:val="hybridMultilevel"/>
    <w:tmpl w:val="178CA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61F760C"/>
    <w:multiLevelType w:val="hybridMultilevel"/>
    <w:tmpl w:val="E91A4E0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0C9248B"/>
    <w:multiLevelType w:val="hybridMultilevel"/>
    <w:tmpl w:val="A28A25B8"/>
    <w:lvl w:ilvl="0" w:tplc="F2F2ED1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7DE50CE"/>
    <w:multiLevelType w:val="hybridMultilevel"/>
    <w:tmpl w:val="6CD228F0"/>
    <w:lvl w:ilvl="0" w:tplc="F8BCE778">
      <w:numFmt w:val="bullet"/>
      <w:lvlText w:val=""/>
      <w:lvlJc w:val="left"/>
      <w:pPr>
        <w:ind w:left="720" w:hanging="360"/>
      </w:pPr>
      <w:rPr>
        <w:rFonts w:ascii="Wingdings" w:eastAsiaTheme="minorHAnsi" w:hAnsi="Wingdings"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7371646"/>
    <w:multiLevelType w:val="hybridMultilevel"/>
    <w:tmpl w:val="8438F416"/>
    <w:lvl w:ilvl="0" w:tplc="F2F2ED1A">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5EEB39CA"/>
    <w:multiLevelType w:val="hybridMultilevel"/>
    <w:tmpl w:val="525AB01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9">
    <w:nsid w:val="67B56067"/>
    <w:multiLevelType w:val="hybridMultilevel"/>
    <w:tmpl w:val="150CB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8736466"/>
    <w:multiLevelType w:val="hybridMultilevel"/>
    <w:tmpl w:val="B3E60A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37C1A75"/>
    <w:multiLevelType w:val="hybridMultilevel"/>
    <w:tmpl w:val="82DE2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807692B"/>
    <w:multiLevelType w:val="hybridMultilevel"/>
    <w:tmpl w:val="BCE642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3"/>
  </w:num>
  <w:num w:numId="6">
    <w:abstractNumId w:val="9"/>
  </w:num>
  <w:num w:numId="7">
    <w:abstractNumId w:val="12"/>
  </w:num>
  <w:num w:numId="8">
    <w:abstractNumId w:val="2"/>
  </w:num>
  <w:num w:numId="9">
    <w:abstractNumId w:val="0"/>
  </w:num>
  <w:num w:numId="10">
    <w:abstractNumId w:val="10"/>
  </w:num>
  <w:num w:numId="11">
    <w:abstractNumId w:val="7"/>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FC3EA0"/>
    <w:rsid w:val="00005BE0"/>
    <w:rsid w:val="00014602"/>
    <w:rsid w:val="00056F21"/>
    <w:rsid w:val="0007582B"/>
    <w:rsid w:val="00081263"/>
    <w:rsid w:val="000B0524"/>
    <w:rsid w:val="000C2C06"/>
    <w:rsid w:val="00112596"/>
    <w:rsid w:val="00135B03"/>
    <w:rsid w:val="00161BEF"/>
    <w:rsid w:val="001649CF"/>
    <w:rsid w:val="00182E7A"/>
    <w:rsid w:val="001A0482"/>
    <w:rsid w:val="001E56DE"/>
    <w:rsid w:val="00207865"/>
    <w:rsid w:val="00212D5C"/>
    <w:rsid w:val="0023376C"/>
    <w:rsid w:val="0025527A"/>
    <w:rsid w:val="00265400"/>
    <w:rsid w:val="002A58C1"/>
    <w:rsid w:val="002D0544"/>
    <w:rsid w:val="002E7D92"/>
    <w:rsid w:val="00300265"/>
    <w:rsid w:val="003321CA"/>
    <w:rsid w:val="00346627"/>
    <w:rsid w:val="00355098"/>
    <w:rsid w:val="0035762A"/>
    <w:rsid w:val="00377A38"/>
    <w:rsid w:val="0039573B"/>
    <w:rsid w:val="003B58EC"/>
    <w:rsid w:val="003D161D"/>
    <w:rsid w:val="003D7ED2"/>
    <w:rsid w:val="003E5649"/>
    <w:rsid w:val="003F0178"/>
    <w:rsid w:val="00414EFF"/>
    <w:rsid w:val="00422657"/>
    <w:rsid w:val="00431179"/>
    <w:rsid w:val="00433652"/>
    <w:rsid w:val="00434A4D"/>
    <w:rsid w:val="00481094"/>
    <w:rsid w:val="004864DB"/>
    <w:rsid w:val="004B094F"/>
    <w:rsid w:val="004E66F0"/>
    <w:rsid w:val="004E7CAD"/>
    <w:rsid w:val="00512AE7"/>
    <w:rsid w:val="005149D5"/>
    <w:rsid w:val="005154BA"/>
    <w:rsid w:val="0051701A"/>
    <w:rsid w:val="005370F0"/>
    <w:rsid w:val="005462EF"/>
    <w:rsid w:val="00550230"/>
    <w:rsid w:val="005716C7"/>
    <w:rsid w:val="0057198E"/>
    <w:rsid w:val="00585D4C"/>
    <w:rsid w:val="005A46B6"/>
    <w:rsid w:val="005C00CE"/>
    <w:rsid w:val="005F38CF"/>
    <w:rsid w:val="00603F7F"/>
    <w:rsid w:val="00607E52"/>
    <w:rsid w:val="0065467D"/>
    <w:rsid w:val="00670A66"/>
    <w:rsid w:val="00675B0C"/>
    <w:rsid w:val="0068445F"/>
    <w:rsid w:val="00694D80"/>
    <w:rsid w:val="0069670A"/>
    <w:rsid w:val="006A5921"/>
    <w:rsid w:val="006A75CA"/>
    <w:rsid w:val="006D4DD6"/>
    <w:rsid w:val="00732C10"/>
    <w:rsid w:val="00750A61"/>
    <w:rsid w:val="00764575"/>
    <w:rsid w:val="00777BF7"/>
    <w:rsid w:val="007B1AD7"/>
    <w:rsid w:val="007C23D6"/>
    <w:rsid w:val="007E35A4"/>
    <w:rsid w:val="007F0100"/>
    <w:rsid w:val="00801474"/>
    <w:rsid w:val="00811F0D"/>
    <w:rsid w:val="00816EB3"/>
    <w:rsid w:val="00820903"/>
    <w:rsid w:val="008237E9"/>
    <w:rsid w:val="00834D5B"/>
    <w:rsid w:val="008449C9"/>
    <w:rsid w:val="00850A9B"/>
    <w:rsid w:val="0086546B"/>
    <w:rsid w:val="00872C33"/>
    <w:rsid w:val="00893445"/>
    <w:rsid w:val="008D1870"/>
    <w:rsid w:val="008D542B"/>
    <w:rsid w:val="008F5354"/>
    <w:rsid w:val="00910234"/>
    <w:rsid w:val="00914F6A"/>
    <w:rsid w:val="00917256"/>
    <w:rsid w:val="00923532"/>
    <w:rsid w:val="00931CD6"/>
    <w:rsid w:val="009720DD"/>
    <w:rsid w:val="009842A9"/>
    <w:rsid w:val="009A6551"/>
    <w:rsid w:val="009D15AE"/>
    <w:rsid w:val="009F3D1A"/>
    <w:rsid w:val="009F6938"/>
    <w:rsid w:val="009F7CE5"/>
    <w:rsid w:val="00A07975"/>
    <w:rsid w:val="00A1562D"/>
    <w:rsid w:val="00A46495"/>
    <w:rsid w:val="00A55C51"/>
    <w:rsid w:val="00A70908"/>
    <w:rsid w:val="00A97376"/>
    <w:rsid w:val="00AB0FE1"/>
    <w:rsid w:val="00AD1684"/>
    <w:rsid w:val="00AD67AD"/>
    <w:rsid w:val="00B22A09"/>
    <w:rsid w:val="00B306CC"/>
    <w:rsid w:val="00B70889"/>
    <w:rsid w:val="00B93EE4"/>
    <w:rsid w:val="00BA25F9"/>
    <w:rsid w:val="00BD7692"/>
    <w:rsid w:val="00BE6033"/>
    <w:rsid w:val="00C01DD3"/>
    <w:rsid w:val="00C06137"/>
    <w:rsid w:val="00C1046F"/>
    <w:rsid w:val="00C121A6"/>
    <w:rsid w:val="00C27DD8"/>
    <w:rsid w:val="00C4163C"/>
    <w:rsid w:val="00C77210"/>
    <w:rsid w:val="00C91B7D"/>
    <w:rsid w:val="00CA02F8"/>
    <w:rsid w:val="00CA1EA3"/>
    <w:rsid w:val="00CC12FA"/>
    <w:rsid w:val="00CD02E3"/>
    <w:rsid w:val="00D01907"/>
    <w:rsid w:val="00D13B3B"/>
    <w:rsid w:val="00D41F2A"/>
    <w:rsid w:val="00D6231E"/>
    <w:rsid w:val="00D92441"/>
    <w:rsid w:val="00DA357D"/>
    <w:rsid w:val="00DA6170"/>
    <w:rsid w:val="00DD0E44"/>
    <w:rsid w:val="00DE6FD0"/>
    <w:rsid w:val="00DF7FD4"/>
    <w:rsid w:val="00E100A5"/>
    <w:rsid w:val="00E119C7"/>
    <w:rsid w:val="00E1381E"/>
    <w:rsid w:val="00E22B2E"/>
    <w:rsid w:val="00E35E39"/>
    <w:rsid w:val="00E37AD2"/>
    <w:rsid w:val="00E57DFB"/>
    <w:rsid w:val="00E8230F"/>
    <w:rsid w:val="00E84D61"/>
    <w:rsid w:val="00EA7AB4"/>
    <w:rsid w:val="00EC7DA4"/>
    <w:rsid w:val="00ED6FF8"/>
    <w:rsid w:val="00EF618E"/>
    <w:rsid w:val="00F242A8"/>
    <w:rsid w:val="00F31211"/>
    <w:rsid w:val="00F363A2"/>
    <w:rsid w:val="00F4315B"/>
    <w:rsid w:val="00F45C82"/>
    <w:rsid w:val="00F45D23"/>
    <w:rsid w:val="00F52D05"/>
    <w:rsid w:val="00F53D59"/>
    <w:rsid w:val="00F66603"/>
    <w:rsid w:val="00F705E0"/>
    <w:rsid w:val="00F802CD"/>
    <w:rsid w:val="00FA0CFF"/>
    <w:rsid w:val="00FA4753"/>
    <w:rsid w:val="00FA521F"/>
    <w:rsid w:val="00FA711B"/>
    <w:rsid w:val="00FB4B98"/>
    <w:rsid w:val="00FC3EA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82"/>
    <w:pPr>
      <w:jc w:val="both"/>
    </w:pPr>
    <w:rPr>
      <w:rFonts w:asciiTheme="majorHAnsi" w:hAnsiTheme="majorHAnsi"/>
    </w:rPr>
  </w:style>
  <w:style w:type="paragraph" w:styleId="Titre1">
    <w:name w:val="heading 1"/>
    <w:basedOn w:val="Normal"/>
    <w:next w:val="Normal"/>
    <w:link w:val="Titre1Car"/>
    <w:uiPriority w:val="9"/>
    <w:qFormat/>
    <w:rsid w:val="00E1381E"/>
    <w:pPr>
      <w:keepNext/>
      <w:keepLines/>
      <w:spacing w:before="240" w:after="240"/>
      <w:outlineLvl w:val="0"/>
    </w:pPr>
    <w:rPr>
      <w:rFonts w:ascii="Century Gothic" w:eastAsiaTheme="majorEastAsia" w:hAnsi="Century Gothic" w:cstheme="majorBidi"/>
      <w:b/>
      <w:color w:val="2E74B5" w:themeColor="accent1" w:themeShade="BF"/>
      <w:sz w:val="36"/>
      <w:szCs w:val="36"/>
    </w:rPr>
  </w:style>
  <w:style w:type="paragraph" w:styleId="Titre2">
    <w:name w:val="heading 2"/>
    <w:basedOn w:val="Normal"/>
    <w:next w:val="Normal"/>
    <w:link w:val="Titre2Car"/>
    <w:uiPriority w:val="9"/>
    <w:unhideWhenUsed/>
    <w:qFormat/>
    <w:rsid w:val="00414EFF"/>
    <w:pPr>
      <w:keepNext/>
      <w:keepLines/>
      <w:spacing w:before="240" w:after="240" w:line="240" w:lineRule="auto"/>
      <w:outlineLvl w:val="1"/>
    </w:pPr>
    <w:rPr>
      <w:rFonts w:ascii="Century Gothic" w:eastAsiaTheme="majorEastAsia" w:hAnsi="Century Gothic" w:cstheme="majorBidi"/>
      <w:color w:val="2E74B5" w:themeColor="accent1" w:themeShade="BF"/>
      <w:sz w:val="26"/>
      <w:szCs w:val="26"/>
    </w:rPr>
  </w:style>
  <w:style w:type="paragraph" w:styleId="Titre3">
    <w:name w:val="heading 3"/>
    <w:basedOn w:val="Normal"/>
    <w:next w:val="Normal"/>
    <w:link w:val="Titre3Car"/>
    <w:uiPriority w:val="9"/>
    <w:unhideWhenUsed/>
    <w:qFormat/>
    <w:rsid w:val="00414EFF"/>
    <w:pPr>
      <w:keepNext/>
      <w:keepLines/>
      <w:spacing w:before="120" w:after="120"/>
      <w:outlineLvl w:val="2"/>
    </w:pPr>
    <w:rPr>
      <w:rFonts w:eastAsiaTheme="majorEastAsia" w:cstheme="majorBidi"/>
      <w:b/>
      <w:color w:val="1F4D78" w:themeColor="accent1" w:themeShade="7F"/>
      <w:sz w:val="24"/>
      <w:szCs w:val="24"/>
    </w:rPr>
  </w:style>
  <w:style w:type="paragraph" w:styleId="Titre4">
    <w:name w:val="heading 4"/>
    <w:basedOn w:val="Normal"/>
    <w:next w:val="Normal"/>
    <w:link w:val="Titre4Car"/>
    <w:uiPriority w:val="9"/>
    <w:unhideWhenUsed/>
    <w:qFormat/>
    <w:rsid w:val="00FA521F"/>
    <w:pPr>
      <w:keepNext/>
      <w:keepLines/>
      <w:spacing w:before="40" w:after="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81E"/>
    <w:rPr>
      <w:rFonts w:ascii="Century Gothic" w:eastAsiaTheme="majorEastAsia" w:hAnsi="Century Gothic" w:cstheme="majorBidi"/>
      <w:b/>
      <w:color w:val="2E74B5" w:themeColor="accent1" w:themeShade="BF"/>
      <w:sz w:val="36"/>
      <w:szCs w:val="36"/>
    </w:rPr>
  </w:style>
  <w:style w:type="character" w:customStyle="1" w:styleId="Titre2Car">
    <w:name w:val="Titre 2 Car"/>
    <w:basedOn w:val="Policepardfaut"/>
    <w:link w:val="Titre2"/>
    <w:uiPriority w:val="9"/>
    <w:rsid w:val="00414EFF"/>
    <w:rPr>
      <w:rFonts w:ascii="Century Gothic" w:eastAsiaTheme="majorEastAsia" w:hAnsi="Century Gothic" w:cstheme="majorBidi"/>
      <w:color w:val="2E74B5" w:themeColor="accent1" w:themeShade="BF"/>
      <w:sz w:val="26"/>
      <w:szCs w:val="26"/>
    </w:rPr>
  </w:style>
  <w:style w:type="paragraph" w:styleId="Titre">
    <w:name w:val="Title"/>
    <w:basedOn w:val="Normal"/>
    <w:next w:val="Normal"/>
    <w:link w:val="TitreCar"/>
    <w:uiPriority w:val="10"/>
    <w:qFormat/>
    <w:rsid w:val="00FC3EA0"/>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C3EA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FC3EA0"/>
    <w:pPr>
      <w:ind w:left="720"/>
      <w:contextualSpacing/>
    </w:pPr>
  </w:style>
  <w:style w:type="character" w:customStyle="1" w:styleId="Titre3Car">
    <w:name w:val="Titre 3 Car"/>
    <w:basedOn w:val="Policepardfaut"/>
    <w:link w:val="Titre3"/>
    <w:uiPriority w:val="9"/>
    <w:rsid w:val="00414EFF"/>
    <w:rPr>
      <w:rFonts w:asciiTheme="majorHAnsi" w:eastAsiaTheme="majorEastAsia" w:hAnsiTheme="majorHAnsi" w:cstheme="majorBidi"/>
      <w:b/>
      <w:color w:val="1F4D78" w:themeColor="accent1" w:themeShade="7F"/>
      <w:sz w:val="24"/>
      <w:szCs w:val="24"/>
    </w:rPr>
  </w:style>
  <w:style w:type="paragraph" w:styleId="NormalWeb">
    <w:name w:val="Normal (Web)"/>
    <w:basedOn w:val="Normal"/>
    <w:uiPriority w:val="99"/>
    <w:semiHidden/>
    <w:unhideWhenUsed/>
    <w:rsid w:val="00834D5B"/>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CitationHTML">
    <w:name w:val="HTML Cite"/>
    <w:basedOn w:val="Policepardfaut"/>
    <w:uiPriority w:val="99"/>
    <w:semiHidden/>
    <w:unhideWhenUsed/>
    <w:rsid w:val="00834D5B"/>
    <w:rPr>
      <w:i/>
      <w:iCs/>
    </w:rPr>
  </w:style>
  <w:style w:type="character" w:styleId="Lienhypertexte">
    <w:name w:val="Hyperlink"/>
    <w:basedOn w:val="Policepardfaut"/>
    <w:uiPriority w:val="99"/>
    <w:unhideWhenUsed/>
    <w:rsid w:val="00834D5B"/>
    <w:rPr>
      <w:color w:val="0000FF"/>
      <w:u w:val="single"/>
    </w:rPr>
  </w:style>
  <w:style w:type="character" w:customStyle="1" w:styleId="citation">
    <w:name w:val="citation"/>
    <w:basedOn w:val="Policepardfaut"/>
    <w:rsid w:val="00834D5B"/>
  </w:style>
  <w:style w:type="character" w:customStyle="1" w:styleId="lang-en">
    <w:name w:val="lang-en"/>
    <w:basedOn w:val="Policepardfaut"/>
    <w:rsid w:val="00834D5B"/>
  </w:style>
  <w:style w:type="paragraph" w:styleId="Notedebasdepage">
    <w:name w:val="footnote text"/>
    <w:basedOn w:val="Normal"/>
    <w:link w:val="NotedebasdepageCar"/>
    <w:uiPriority w:val="99"/>
    <w:unhideWhenUsed/>
    <w:rsid w:val="00834D5B"/>
    <w:pPr>
      <w:spacing w:after="0" w:line="240" w:lineRule="auto"/>
      <w:jc w:val="left"/>
    </w:pPr>
    <w:rPr>
      <w:sz w:val="20"/>
      <w:szCs w:val="20"/>
    </w:rPr>
  </w:style>
  <w:style w:type="character" w:customStyle="1" w:styleId="NotedebasdepageCar">
    <w:name w:val="Note de bas de page Car"/>
    <w:basedOn w:val="Policepardfaut"/>
    <w:link w:val="Notedebasdepage"/>
    <w:uiPriority w:val="99"/>
    <w:rsid w:val="00834D5B"/>
    <w:rPr>
      <w:sz w:val="20"/>
      <w:szCs w:val="20"/>
    </w:rPr>
  </w:style>
  <w:style w:type="character" w:styleId="Appelnotedebasdep">
    <w:name w:val="footnote reference"/>
    <w:basedOn w:val="Policepardfaut"/>
    <w:uiPriority w:val="99"/>
    <w:semiHidden/>
    <w:unhideWhenUsed/>
    <w:rsid w:val="00834D5B"/>
    <w:rPr>
      <w:vertAlign w:val="superscript"/>
    </w:rPr>
  </w:style>
  <w:style w:type="character" w:styleId="Rfrenceintense">
    <w:name w:val="Intense Reference"/>
    <w:uiPriority w:val="32"/>
    <w:qFormat/>
    <w:rsid w:val="0086546B"/>
    <w:rPr>
      <w:sz w:val="20"/>
    </w:rPr>
  </w:style>
  <w:style w:type="paragraph" w:customStyle="1" w:styleId="Default">
    <w:name w:val="Default"/>
    <w:rsid w:val="00E84D61"/>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E84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E84D6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edebulles">
    <w:name w:val="Balloon Text"/>
    <w:basedOn w:val="Normal"/>
    <w:link w:val="TextedebullesCar"/>
    <w:uiPriority w:val="99"/>
    <w:semiHidden/>
    <w:unhideWhenUsed/>
    <w:rsid w:val="005370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70F0"/>
    <w:rPr>
      <w:rFonts w:ascii="Segoe UI" w:hAnsi="Segoe UI" w:cs="Segoe UI"/>
      <w:sz w:val="18"/>
      <w:szCs w:val="18"/>
    </w:rPr>
  </w:style>
  <w:style w:type="character" w:styleId="Marquedecommentaire">
    <w:name w:val="annotation reference"/>
    <w:basedOn w:val="Policepardfaut"/>
    <w:uiPriority w:val="99"/>
    <w:semiHidden/>
    <w:unhideWhenUsed/>
    <w:rsid w:val="007C23D6"/>
    <w:rPr>
      <w:sz w:val="16"/>
      <w:szCs w:val="16"/>
    </w:rPr>
  </w:style>
  <w:style w:type="paragraph" w:styleId="Commentaire">
    <w:name w:val="annotation text"/>
    <w:basedOn w:val="Normal"/>
    <w:link w:val="CommentaireCar"/>
    <w:uiPriority w:val="99"/>
    <w:unhideWhenUsed/>
    <w:rsid w:val="007C23D6"/>
    <w:pPr>
      <w:spacing w:line="240" w:lineRule="auto"/>
    </w:pPr>
    <w:rPr>
      <w:sz w:val="20"/>
      <w:szCs w:val="20"/>
    </w:rPr>
  </w:style>
  <w:style w:type="character" w:customStyle="1" w:styleId="CommentaireCar">
    <w:name w:val="Commentaire Car"/>
    <w:basedOn w:val="Policepardfaut"/>
    <w:link w:val="Commentaire"/>
    <w:uiPriority w:val="99"/>
    <w:rsid w:val="007C23D6"/>
    <w:rPr>
      <w:sz w:val="20"/>
      <w:szCs w:val="20"/>
    </w:rPr>
  </w:style>
  <w:style w:type="paragraph" w:styleId="Objetducommentaire">
    <w:name w:val="annotation subject"/>
    <w:basedOn w:val="Commentaire"/>
    <w:next w:val="Commentaire"/>
    <w:link w:val="ObjetducommentaireCar"/>
    <w:uiPriority w:val="99"/>
    <w:semiHidden/>
    <w:unhideWhenUsed/>
    <w:rsid w:val="007C23D6"/>
    <w:rPr>
      <w:b/>
      <w:bCs/>
    </w:rPr>
  </w:style>
  <w:style w:type="character" w:customStyle="1" w:styleId="ObjetducommentaireCar">
    <w:name w:val="Objet du commentaire Car"/>
    <w:basedOn w:val="CommentaireCar"/>
    <w:link w:val="Objetducommentaire"/>
    <w:uiPriority w:val="99"/>
    <w:semiHidden/>
    <w:rsid w:val="007C23D6"/>
    <w:rPr>
      <w:b/>
      <w:bCs/>
      <w:sz w:val="20"/>
      <w:szCs w:val="20"/>
    </w:rPr>
  </w:style>
  <w:style w:type="paragraph" w:styleId="En-tte">
    <w:name w:val="header"/>
    <w:basedOn w:val="Normal"/>
    <w:link w:val="En-tteCar"/>
    <w:uiPriority w:val="99"/>
    <w:unhideWhenUsed/>
    <w:rsid w:val="00850A9B"/>
    <w:pPr>
      <w:tabs>
        <w:tab w:val="center" w:pos="4320"/>
        <w:tab w:val="right" w:pos="8640"/>
      </w:tabs>
      <w:spacing w:after="0" w:line="240" w:lineRule="auto"/>
    </w:pPr>
  </w:style>
  <w:style w:type="character" w:customStyle="1" w:styleId="En-tteCar">
    <w:name w:val="En-tête Car"/>
    <w:basedOn w:val="Policepardfaut"/>
    <w:link w:val="En-tte"/>
    <w:uiPriority w:val="99"/>
    <w:rsid w:val="00850A9B"/>
  </w:style>
  <w:style w:type="paragraph" w:styleId="Pieddepage">
    <w:name w:val="footer"/>
    <w:basedOn w:val="Normal"/>
    <w:link w:val="PieddepageCar"/>
    <w:uiPriority w:val="99"/>
    <w:unhideWhenUsed/>
    <w:rsid w:val="00850A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0A9B"/>
  </w:style>
  <w:style w:type="character" w:styleId="Lienhypertextesuivivisit">
    <w:name w:val="FollowedHyperlink"/>
    <w:basedOn w:val="Policepardfaut"/>
    <w:uiPriority w:val="99"/>
    <w:semiHidden/>
    <w:unhideWhenUsed/>
    <w:rsid w:val="00F363A2"/>
    <w:rPr>
      <w:color w:val="954F72" w:themeColor="followedHyperlink"/>
      <w:u w:val="single"/>
    </w:rPr>
  </w:style>
  <w:style w:type="character" w:customStyle="1" w:styleId="Titre4Car">
    <w:name w:val="Titre 4 Car"/>
    <w:basedOn w:val="Policepardfaut"/>
    <w:link w:val="Titre4"/>
    <w:uiPriority w:val="9"/>
    <w:rsid w:val="00FA521F"/>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135B03"/>
    <w:pPr>
      <w:spacing w:after="0"/>
      <w:jc w:val="left"/>
      <w:outlineLvl w:val="9"/>
    </w:pPr>
    <w:rPr>
      <w:rFonts w:asciiTheme="majorHAnsi" w:hAnsiTheme="majorHAnsi"/>
      <w:b w:val="0"/>
      <w:sz w:val="32"/>
      <w:szCs w:val="32"/>
      <w:lang w:eastAsia="fr-CA"/>
    </w:rPr>
  </w:style>
  <w:style w:type="paragraph" w:styleId="TM1">
    <w:name w:val="toc 1"/>
    <w:basedOn w:val="Normal"/>
    <w:next w:val="Normal"/>
    <w:autoRedefine/>
    <w:uiPriority w:val="39"/>
    <w:unhideWhenUsed/>
    <w:rsid w:val="00135B03"/>
    <w:pPr>
      <w:spacing w:after="100"/>
    </w:pPr>
  </w:style>
  <w:style w:type="paragraph" w:styleId="TM2">
    <w:name w:val="toc 2"/>
    <w:basedOn w:val="Normal"/>
    <w:next w:val="Normal"/>
    <w:autoRedefine/>
    <w:uiPriority w:val="39"/>
    <w:unhideWhenUsed/>
    <w:rsid w:val="00135B03"/>
    <w:pPr>
      <w:spacing w:after="100"/>
      <w:ind w:left="220"/>
    </w:pPr>
  </w:style>
  <w:style w:type="paragraph" w:styleId="TM3">
    <w:name w:val="toc 3"/>
    <w:basedOn w:val="Normal"/>
    <w:next w:val="Normal"/>
    <w:autoRedefine/>
    <w:uiPriority w:val="39"/>
    <w:unhideWhenUsed/>
    <w:rsid w:val="00135B03"/>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s.fsss.qc.ca/articles/Riposte.pdf" TargetMode="External"/><Relationship Id="rId2" Type="http://schemas.openxmlformats.org/officeDocument/2006/relationships/hyperlink" Target="http://www.lignedutemps.org/" TargetMode="External"/><Relationship Id="rId1" Type="http://schemas.openxmlformats.org/officeDocument/2006/relationships/hyperlink" Target="http://collections.banq.qc.ca:8008/lapresse/src/cahiers/1999/07/31/02/82812_19990731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0312-103C-4BCC-8121-AFA45A81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5367</Words>
  <Characters>29521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Historique des lois spéciales</vt:lpstr>
    </vt:vector>
  </TitlesOfParts>
  <Company>CSN</Company>
  <LinksUpToDate>false</LinksUpToDate>
  <CharactersWithSpaces>34819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Historique des lois spéciales</dc:title>
  <dc:creator>organisation de la résistance à une éventuelle loi spéciale</dc:creator>
  <cp:lastModifiedBy>Julien</cp:lastModifiedBy>
  <cp:revision>2</cp:revision>
  <dcterms:created xsi:type="dcterms:W3CDTF">2015-10-28T22:37:00Z</dcterms:created>
  <dcterms:modified xsi:type="dcterms:W3CDTF">2015-10-28T22:37:00Z</dcterms:modified>
</cp:coreProperties>
</file>